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Times New Roman" w:eastAsia="仿宋_GB2312" w:cs="Times New Roman"/>
          <w:b/>
          <w:color w:val="FF0000"/>
          <w:sz w:val="116"/>
          <w:szCs w:val="116"/>
        </w:rPr>
      </w:pPr>
      <w:r>
        <w:rPr>
          <w:rFonts w:hint="eastAsia" w:ascii="仿宋_GB2312" w:hAnsi="Times New Roman" w:eastAsia="仿宋_GB2312" w:cs="Times New Roman"/>
          <w:b/>
          <w:color w:val="FF0000"/>
          <w:sz w:val="116"/>
          <w:szCs w:val="116"/>
        </w:rPr>
        <w:t>教 学 简 报</w:t>
      </w:r>
    </w:p>
    <w:p>
      <w:pPr>
        <w:spacing w:line="400" w:lineRule="exact"/>
        <w:jc w:val="center"/>
        <w:rPr>
          <w:rFonts w:ascii="仿宋_GB2312" w:hAnsi="Times New Roman" w:eastAsia="仿宋_GB2312" w:cs="Times New Roman"/>
          <w:b/>
          <w:color w:val="FF0000"/>
          <w:szCs w:val="24"/>
        </w:rPr>
      </w:pPr>
    </w:p>
    <w:p>
      <w:pPr>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二O二</w:t>
      </w:r>
      <w:r>
        <w:rPr>
          <w:rFonts w:hint="eastAsia" w:ascii="仿宋_GB2312" w:hAnsi="Times New Roman" w:eastAsia="仿宋_GB2312" w:cs="Times New Roman"/>
          <w:sz w:val="28"/>
          <w:szCs w:val="28"/>
          <w:lang w:eastAsia="zh-CN"/>
        </w:rPr>
        <w:t>一</w:t>
      </w:r>
      <w:r>
        <w:rPr>
          <w:rFonts w:hint="eastAsia" w:ascii="仿宋_GB2312" w:hAnsi="Times New Roman" w:eastAsia="仿宋_GB2312" w:cs="Times New Roman"/>
          <w:sz w:val="28"/>
          <w:szCs w:val="28"/>
        </w:rPr>
        <w:t>年第</w:t>
      </w:r>
      <w:r>
        <w:rPr>
          <w:rFonts w:hint="eastAsia" w:ascii="仿宋_GB2312" w:hAnsi="Times New Roman" w:eastAsia="仿宋_GB2312" w:cs="Times New Roman"/>
          <w:sz w:val="28"/>
          <w:szCs w:val="28"/>
          <w:lang w:eastAsia="zh-CN"/>
        </w:rPr>
        <w:t>三</w:t>
      </w:r>
      <w:r>
        <w:rPr>
          <w:rFonts w:hint="eastAsia" w:ascii="仿宋_GB2312" w:hAnsi="Times New Roman" w:eastAsia="仿宋_GB2312" w:cs="Times New Roman"/>
          <w:sz w:val="28"/>
          <w:szCs w:val="28"/>
        </w:rPr>
        <w:t>期         　                     总第12</w:t>
      </w:r>
      <w:r>
        <w:rPr>
          <w:rFonts w:hint="eastAsia" w:ascii="仿宋_GB2312" w:hAnsi="Times New Roman" w:eastAsia="仿宋_GB2312" w:cs="Times New Roman"/>
          <w:sz w:val="28"/>
          <w:szCs w:val="28"/>
          <w:lang w:val="en-US" w:eastAsia="zh-CN"/>
        </w:rPr>
        <w:t>7</w:t>
      </w:r>
      <w:r>
        <w:rPr>
          <w:rFonts w:hint="eastAsia" w:ascii="仿宋_GB2312" w:hAnsi="Times New Roman" w:eastAsia="仿宋_GB2312" w:cs="Times New Roman"/>
          <w:sz w:val="28"/>
          <w:szCs w:val="28"/>
        </w:rPr>
        <w:t>期</w:t>
      </w:r>
    </w:p>
    <w:p>
      <w:pPr>
        <w:spacing w:line="400" w:lineRule="exact"/>
        <w:rPr>
          <w:rFonts w:ascii="仿宋_GB2312" w:hAnsi="Times New Roman" w:eastAsia="仿宋_GB2312" w:cs="Times New Roman"/>
          <w:sz w:val="28"/>
          <w:szCs w:val="28"/>
        </w:rPr>
      </w:pPr>
    </w:p>
    <w:p>
      <w:pPr>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娄底职业技术学院教务处编                   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w:t>
      </w:r>
      <w:r>
        <w:rPr>
          <w:rFonts w:hint="eastAsia" w:ascii="仿宋_GB2312" w:hAnsi="Times New Roman" w:eastAsia="仿宋_GB2312" w:cs="Times New Roman"/>
          <w:sz w:val="28"/>
          <w:szCs w:val="28"/>
          <w:lang w:val="en-US" w:eastAsia="zh-CN"/>
        </w:rPr>
        <w:t>9</w:t>
      </w:r>
      <w:r>
        <w:rPr>
          <w:rFonts w:hint="eastAsia" w:ascii="仿宋_GB2312" w:hAnsi="Times New Roman" w:eastAsia="仿宋_GB2312" w:cs="Times New Roman"/>
          <w:sz w:val="28"/>
          <w:szCs w:val="28"/>
        </w:rPr>
        <w:t>月</w:t>
      </w:r>
      <w:r>
        <w:rPr>
          <w:rFonts w:hint="eastAsia" w:ascii="仿宋_GB2312" w:hAnsi="Times New Roman" w:eastAsia="仿宋_GB2312" w:cs="Times New Roman"/>
          <w:sz w:val="28"/>
          <w:szCs w:val="28"/>
          <w:lang w:val="en-US" w:eastAsia="zh-CN"/>
        </w:rPr>
        <w:t>15</w:t>
      </w:r>
      <w:r>
        <w:rPr>
          <w:rFonts w:hint="eastAsia" w:ascii="仿宋_GB2312" w:hAnsi="Times New Roman" w:eastAsia="仿宋_GB2312" w:cs="Times New Roman"/>
          <w:sz w:val="28"/>
          <w:szCs w:val="28"/>
        </w:rPr>
        <w:t>日</w:t>
      </w:r>
    </w:p>
    <w:p>
      <w:pPr>
        <w:spacing w:line="200" w:lineRule="exact"/>
        <w:rPr>
          <w:rFonts w:ascii="仿宋_GB2312" w:hAnsi="Calibri" w:eastAsia="仿宋_GB2312" w:cs="Times New Roman"/>
          <w:b/>
          <w:color w:val="FF0000"/>
          <w:sz w:val="28"/>
          <w:u w:val="thick"/>
        </w:rPr>
      </w:pPr>
      <w:r>
        <w:rPr>
          <w:rFonts w:hint="eastAsia" w:ascii="仿宋_GB2312" w:hAnsi="Calibri" w:eastAsia="仿宋_GB2312" w:cs="Times New Roman"/>
          <w:color w:val="FF0000"/>
          <w:sz w:val="28"/>
          <w:u w:val="thick"/>
        </w:rPr>
        <w:t xml:space="preserve">                                                   </w:t>
      </w:r>
      <w:r>
        <w:rPr>
          <w:rFonts w:hint="eastAsia" w:ascii="仿宋_GB2312" w:hAnsi="Calibri" w:eastAsia="仿宋_GB2312" w:cs="Times New Roman"/>
          <w:b/>
          <w:color w:val="FF0000"/>
          <w:sz w:val="28"/>
          <w:u w:val="thick"/>
        </w:rPr>
        <w:t xml:space="preserve">           </w:t>
      </w:r>
    </w:p>
    <w:p>
      <w:pPr>
        <w:spacing w:line="200" w:lineRule="exact"/>
        <w:rPr>
          <w:rFonts w:ascii="仿宋_GB2312" w:hAnsi="Calibri" w:eastAsia="仿宋_GB2312" w:cs="Times New Roman"/>
          <w:b/>
          <w:color w:val="FF0000"/>
          <w:sz w:val="28"/>
          <w:u w:val="thick"/>
        </w:rPr>
      </w:pPr>
    </w:p>
    <w:p>
      <w:pPr>
        <w:adjustRightInd w:val="0"/>
        <w:snapToGrid w:val="0"/>
        <w:spacing w:line="580" w:lineRule="exact"/>
        <w:ind w:right="1120"/>
        <w:rPr>
          <w:rFonts w:hint="eastAsia" w:ascii="仿宋_GB2312" w:eastAsia="仿宋_GB2312" w:hAnsiTheme="minorEastAsia"/>
          <w:sz w:val="28"/>
          <w:szCs w:val="28"/>
        </w:rPr>
      </w:pPr>
    </w:p>
    <w:p>
      <w:pPr>
        <w:adjustRightInd w:val="0"/>
        <w:snapToGrid w:val="0"/>
        <w:spacing w:line="580" w:lineRule="exact"/>
        <w:ind w:right="1120"/>
        <w:rPr>
          <w:rFonts w:hint="eastAsia" w:ascii="仿宋_GB2312" w:eastAsia="仿宋_GB2312" w:hAnsiTheme="minorEastAsia"/>
          <w:sz w:val="28"/>
          <w:szCs w:val="28"/>
        </w:rPr>
      </w:pPr>
    </w:p>
    <w:p>
      <w:pPr>
        <w:adjustRightInd w:val="0"/>
        <w:snapToGrid w:val="0"/>
        <w:spacing w:line="580" w:lineRule="exact"/>
        <w:ind w:right="1120"/>
        <w:rPr>
          <w:rFonts w:hint="eastAsia" w:ascii="仿宋_GB2312" w:eastAsia="仿宋_GB2312" w:hAnsiTheme="minorEastAsia"/>
          <w:sz w:val="28"/>
          <w:szCs w:val="28"/>
        </w:rPr>
      </w:pPr>
      <w:r>
        <w:rPr>
          <w:rFonts w:hint="eastAsia" w:ascii="仿宋_GB2312" w:eastAsia="仿宋_GB2312" w:hAnsiTheme="minorEastAsia"/>
          <w:sz w:val="28"/>
          <w:szCs w:val="28"/>
        </w:rPr>
        <w:t>【教学动态】</w:t>
      </w:r>
    </w:p>
    <w:p>
      <w:pPr>
        <w:adjustRightInd w:val="0"/>
        <w:snapToGrid w:val="0"/>
        <w:spacing w:line="580" w:lineRule="exact"/>
        <w:ind w:right="1120"/>
        <w:rPr>
          <w:rFonts w:hint="eastAsia" w:ascii="仿宋_GB2312" w:eastAsia="仿宋_GB2312" w:hAnsiTheme="minorEastAsia"/>
          <w:sz w:val="28"/>
          <w:szCs w:val="28"/>
        </w:rPr>
      </w:pPr>
    </w:p>
    <w:p>
      <w:pPr>
        <w:jc w:val="center"/>
        <w:rPr>
          <w:rFonts w:hint="eastAsia" w:ascii="仿宋" w:hAnsi="仿宋" w:eastAsia="仿宋" w:cs="仿宋"/>
          <w:b/>
          <w:bCs/>
          <w:kern w:val="2"/>
          <w:sz w:val="36"/>
          <w:szCs w:val="36"/>
          <w:lang w:val="en-US" w:eastAsia="zh-CN" w:bidi="ar-SA"/>
        </w:rPr>
      </w:pPr>
      <w:r>
        <w:rPr>
          <w:rFonts w:hint="eastAsia" w:ascii="仿宋" w:hAnsi="仿宋" w:eastAsia="仿宋" w:cs="仿宋"/>
          <w:b/>
          <w:bCs/>
          <w:kern w:val="2"/>
          <w:sz w:val="36"/>
          <w:szCs w:val="36"/>
          <w:lang w:val="en-US" w:eastAsia="zh-CN" w:bidi="ar-SA"/>
        </w:rPr>
        <w:t>我校开展2021级三年制高职专业人才培养方案</w:t>
      </w:r>
    </w:p>
    <w:p>
      <w:pPr>
        <w:jc w:val="center"/>
        <w:rPr>
          <w:rFonts w:hint="eastAsia" w:ascii="仿宋" w:hAnsi="仿宋" w:eastAsia="仿宋" w:cs="仿宋"/>
          <w:b/>
          <w:bCs/>
          <w:kern w:val="2"/>
          <w:sz w:val="36"/>
          <w:szCs w:val="36"/>
          <w:lang w:val="en-US" w:eastAsia="zh-CN" w:bidi="ar-SA"/>
        </w:rPr>
      </w:pPr>
      <w:r>
        <w:rPr>
          <w:rFonts w:hint="eastAsia" w:ascii="仿宋" w:hAnsi="仿宋" w:eastAsia="仿宋" w:cs="仿宋"/>
          <w:b/>
          <w:bCs/>
          <w:kern w:val="2"/>
          <w:sz w:val="36"/>
          <w:szCs w:val="36"/>
          <w:lang w:val="en-US" w:eastAsia="zh-CN" w:bidi="ar-SA"/>
        </w:rPr>
        <w:t>制（修）订及检查评价工作</w:t>
      </w:r>
    </w:p>
    <w:p>
      <w:pPr>
        <w:jc w:val="center"/>
        <w:rPr>
          <w:rFonts w:hint="default" w:ascii="仿宋" w:hAnsi="仿宋" w:eastAsia="仿宋" w:cs="仿宋"/>
          <w:b/>
          <w:bCs/>
          <w:kern w:val="2"/>
          <w:sz w:val="36"/>
          <w:szCs w:val="36"/>
          <w:lang w:val="en-US" w:eastAsia="zh-CN" w:bidi="ar-SA"/>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贯彻落实《关于组织做好职业院校专业人才培养方案制定与实施工作的通知》（教职成司函〔2019〕61号）、《教育部关于印发&lt;职业教育专业目录（2021年）的通知&gt;》（教职成〔2021〕2号）和全国职业教育大会精神，根据湖南省教育厅《关于开展2021年高职高专院校专业人才培养方案检查和新设专业办学水平合格性评价工作的通知》，结合《娄底职业技术学院提质培优行动计划（2021-2023年）实施方案》（娄职院发〔2021〕11号）建设要求，确保人才培养方案在省级抽查中全部合格，进一步提高优秀等级，在学校专业人才培养方案制订与实施工作领导小组的领导下，教务处和医学部分别开展了校本部和医学校区专业人才培养方案检查评价。</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务处出台了《娄底职业技术学院关于做好2021级三年制高职专业人才培养方案制（修）订工作的通知》《娄底职业技术学院关于开展2021年专业人才培养方案检查评价的通知》等文件，从制（修）订重点、制订程序、实施要求和范式等方面进行了明确和规范，并组织相关人员进行了培训和答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二级学院组织专业带头人、执笔人和一线教师认真研读和学习相关文件，开展专业人才需求调研，进行职业岗位分析和工作过程系统化课程设计，按照要求起草专业人才培养方案，在专业建设委员会的指导下进行修改优化，经专业建设委员会和二级学院审核通过。</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务处和医学部分别组织专家对校本部（40个）和医学部（8个）各专业（专业方向）人才培养方案进行了合格性评审，通过专家复审、专家评审组长抽审和主管部门复核等工作，督促、指导各二级学院对人才培养方案进行了修改和优化，直至合格。</w:t>
      </w:r>
    </w:p>
    <w:p>
      <w:pPr>
        <w:ind w:firstLine="560" w:firstLineChars="200"/>
        <w:rPr>
          <w:rFonts w:ascii="仿宋_GB2312" w:hAnsi="仿宋_GB2312" w:eastAsia="仿宋_GB2312" w:cs="仿宋_GB2312"/>
          <w:bCs/>
          <w:color w:val="121212"/>
          <w:sz w:val="32"/>
          <w:szCs w:val="32"/>
        </w:rPr>
      </w:pPr>
      <w:r>
        <w:rPr>
          <w:rFonts w:hint="eastAsia" w:ascii="仿宋" w:hAnsi="仿宋" w:eastAsia="仿宋" w:cs="仿宋"/>
          <w:sz w:val="28"/>
          <w:szCs w:val="28"/>
          <w:lang w:val="en-US" w:eastAsia="zh-CN"/>
        </w:rPr>
        <w:t>经过多轮修改优化后，各专业人才培养方案职业面向较清晰，目标岗位较明确，培养目标及培养规格定位较准确，课程体系设计基本合理，学时、学分比例符合规定要求，按要求开齐开足了公共基础课程（不少于总学时的25%）和选修课程（不少于总学时的10%），实践性教学课时比例均达到了50%以上，顶岗实习时间达到6个月（少数校企合作专业为10个月），专业总课时控制在2900学时内，课内课时在1900以内（中医学和临床医学专业参照国家教学标准控制在3000学时内，课内课时在2100左右）。</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9月1日，在我校官网上公布了本次制（修）订且通过合格性评审的48个专业人才培养方案（含专业方向）（教务处）</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【“三教”改革】</w:t>
      </w:r>
    </w:p>
    <w:p>
      <w:pPr>
        <w:rPr>
          <w:rFonts w:hint="eastAsia" w:ascii="仿宋" w:hAnsi="仿宋" w:eastAsia="仿宋" w:cs="仿宋"/>
          <w:sz w:val="28"/>
          <w:szCs w:val="28"/>
          <w:lang w:val="en-US" w:eastAsia="zh-CN"/>
        </w:rPr>
      </w:pPr>
    </w:p>
    <w:p>
      <w:pPr>
        <w:jc w:val="center"/>
        <w:rPr>
          <w:rFonts w:hint="eastAsia" w:ascii="仿宋" w:hAnsi="仿宋" w:eastAsia="仿宋" w:cs="仿宋"/>
          <w:b/>
          <w:bCs/>
          <w:kern w:val="2"/>
          <w:sz w:val="36"/>
          <w:szCs w:val="36"/>
          <w:lang w:val="en-US" w:eastAsia="zh-CN" w:bidi="ar-SA"/>
        </w:rPr>
      </w:pPr>
      <w:r>
        <w:rPr>
          <w:rFonts w:hint="eastAsia" w:ascii="仿宋" w:hAnsi="仿宋" w:eastAsia="仿宋" w:cs="仿宋"/>
          <w:b/>
          <w:bCs/>
          <w:kern w:val="2"/>
          <w:sz w:val="36"/>
          <w:szCs w:val="36"/>
          <w:lang w:val="en-US" w:eastAsia="zh-CN" w:bidi="ar-SA"/>
        </w:rPr>
        <w:t>我校举办“优质教学资源建设与课程教学改革”培训</w:t>
      </w:r>
    </w:p>
    <w:p>
      <w:pPr>
        <w:jc w:val="center"/>
        <w:rPr>
          <w:rFonts w:hint="eastAsia" w:ascii="仿宋" w:hAnsi="仿宋" w:eastAsia="仿宋" w:cs="仿宋"/>
          <w:b/>
          <w:bCs/>
          <w:sz w:val="36"/>
          <w:szCs w:val="36"/>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为全面提升教师课程建设与改革能力，切实推进“三教”改革，9月6日，娄底职业技术学院由教务处和重点项目办牵头，机电工程学院承办了一场“优质教学资源建设与课程教学改革”的专题培训，培训在学校视频会议室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jc w:val="both"/>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drawing>
          <wp:inline distT="0" distB="0" distL="114300" distR="114300">
            <wp:extent cx="2569845" cy="1652270"/>
            <wp:effectExtent l="0" t="0" r="1905" b="508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rcRect l="3224" r="6122"/>
                    <a:stretch>
                      <a:fillRect/>
                    </a:stretch>
                  </pic:blipFill>
                  <pic:spPr>
                    <a:xfrm>
                      <a:off x="0" y="0"/>
                      <a:ext cx="2569845" cy="165227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drawing>
          <wp:inline distT="0" distB="0" distL="114300" distR="114300">
            <wp:extent cx="2658110" cy="1654810"/>
            <wp:effectExtent l="0" t="0" r="8890" b="254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7"/>
                    <a:stretch>
                      <a:fillRect/>
                    </a:stretch>
                  </pic:blipFill>
                  <pic:spPr>
                    <a:xfrm>
                      <a:off x="0" y="0"/>
                      <a:ext cx="2658110" cy="165481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出席开班仪式的有娄底职院副校长游新娥，教务处处长朱燕，主讲专家陶艳教授及相关院部领导参加，机电工程学院陈育新院长主持。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游新娥强调，学校发展进入新时期，“三教”改革迫在眉睫，全国乡村振兴人才培养优质校建设发展方案已经制定，学校提质培优行动计划全面启动。“三教”改革是所有发展改革的基石，只有“三教”改革改到实处，才有可能实现学校高质量发展的目标；学校“三教”改革任重道远，一线教师要责无旁贷地投身到“三教”改革中来，希望各位教师在这场改革中思考“我做了什么”“我能做什么”“我该怎么做”。</w:t>
      </w:r>
      <w:r>
        <w:rPr>
          <w:rFonts w:hint="default" w:ascii="仿宋" w:hAnsi="仿宋" w:eastAsia="仿宋" w:cs="仿宋"/>
          <w:kern w:val="2"/>
          <w:sz w:val="28"/>
          <w:szCs w:val="28"/>
          <w:lang w:val="en-US" w:eastAsia="zh-CN" w:bidi="ar-SA"/>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湖南铁道职业技术学院铁道轨道交通机车车辆学院副院长陶艳教授以《对标人才培养方案推进课程教学改革》为主题，详细介绍了人才培养方案的调研、论证和制订，就课程教学设计和课程改革实施等做了深刻的阐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长沙民政职业技术学院机电专业带头人黄有全教授以《职业教育在线精品课程建设与应用》为主题，对教师课程建设相关政策做出了解读和预判，就课程建设的思路和方法做了详细的阐述。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本次培训共有78人参训，其中机电工程学院41人，其他各院部37人。参训教师认真听取了培训，取得了良好的效果，培训结束后颁发了结业证书。（吴光辉  朱亚鹏  李 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rPr>
          <w:rFonts w:hint="eastAsia" w:ascii="仿宋" w:hAnsi="仿宋" w:eastAsia="仿宋" w:cs="仿宋"/>
          <w:b/>
          <w:bCs/>
          <w:kern w:val="2"/>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center"/>
        <w:rPr>
          <w:rFonts w:hint="eastAsia" w:ascii="仿宋" w:hAnsi="仿宋" w:eastAsia="仿宋" w:cs="仿宋"/>
          <w:b/>
          <w:bCs/>
          <w:kern w:val="2"/>
          <w:sz w:val="36"/>
          <w:szCs w:val="36"/>
          <w:lang w:val="en-US" w:eastAsia="zh-CN" w:bidi="ar-SA"/>
        </w:rPr>
      </w:pPr>
      <w:r>
        <w:rPr>
          <w:rFonts w:hint="eastAsia" w:ascii="仿宋" w:hAnsi="仿宋" w:eastAsia="仿宋" w:cs="仿宋"/>
          <w:b/>
          <w:bCs/>
          <w:kern w:val="2"/>
          <w:sz w:val="36"/>
          <w:szCs w:val="36"/>
          <w:lang w:val="en-US" w:eastAsia="zh-CN" w:bidi="ar-SA"/>
        </w:rPr>
        <w:t>我校开展2021年校级教学成果奖评审及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center"/>
        <w:rPr>
          <w:rFonts w:hint="eastAsia" w:ascii="仿宋" w:hAnsi="仿宋" w:eastAsia="仿宋" w:cs="仿宋"/>
          <w:b/>
          <w:bCs/>
          <w:kern w:val="2"/>
          <w:sz w:val="36"/>
          <w:szCs w:val="36"/>
          <w:lang w:val="en-US" w:eastAsia="zh-CN" w:bidi="ar-SA"/>
        </w:rPr>
      </w:pPr>
      <w:r>
        <w:rPr>
          <w:rFonts w:hint="eastAsia" w:ascii="仿宋" w:hAnsi="仿宋" w:eastAsia="仿宋" w:cs="仿宋"/>
          <w:b/>
          <w:bCs/>
          <w:kern w:val="2"/>
          <w:sz w:val="36"/>
          <w:szCs w:val="36"/>
          <w:lang w:val="en-US" w:eastAsia="zh-CN" w:bidi="ar-SA"/>
        </w:rPr>
        <w:t>省级教学成果奖推荐工作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center"/>
        <w:rPr>
          <w:rFonts w:hint="default" w:ascii="仿宋" w:hAnsi="仿宋" w:eastAsia="仿宋" w:cs="仿宋"/>
          <w:b/>
          <w:bCs/>
          <w:kern w:val="2"/>
          <w:sz w:val="36"/>
          <w:szCs w:val="36"/>
          <w:lang w:val="en-US" w:eastAsia="zh-CN" w:bidi="ar-SA"/>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贯彻落实习近平总书记关于职业教育的重要指示和全国职教大会精神，进一步加快发展现代职业教育，推进职业教育教学改革，着力提高技术技能人才培养质量，根据《关于开展2021年湖南省职业教育省级教学成果奖评审工作的通知》（湘教通〔2021〕168号）及《娄底职业技术学院关于开展2021年校级级教学成果奖申报及评选的通知》（娄职院发〔2021〕41号）精神，</w:t>
      </w:r>
      <w:r>
        <w:rPr>
          <w:rFonts w:hint="default" w:ascii="仿宋" w:hAnsi="仿宋" w:eastAsia="仿宋" w:cs="仿宋"/>
          <w:sz w:val="28"/>
          <w:szCs w:val="28"/>
          <w:lang w:val="en-US" w:eastAsia="zh-CN"/>
        </w:rPr>
        <w:t>我校组织了2021年校级教学成果奖的申报</w:t>
      </w:r>
      <w:r>
        <w:rPr>
          <w:rFonts w:hint="eastAsia" w:ascii="仿宋" w:hAnsi="仿宋" w:eastAsia="仿宋" w:cs="仿宋"/>
          <w:sz w:val="28"/>
          <w:szCs w:val="28"/>
          <w:lang w:val="en-US" w:eastAsia="zh-CN"/>
        </w:rPr>
        <w:t>评审及省级教学成果奖的推荐工作。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各部门、单位自主申报、教务处初审、专家现场评审、评审委员会审定，遴选确定2021年校级教学成果奖一等奖2项、二等奖3项、三等奖9项，推荐《“三融三合”乡村振兴人才培养模式的研究与实践》等4项教学成果</w:t>
      </w:r>
      <w:r>
        <w:rPr>
          <w:rFonts w:hint="default" w:ascii="仿宋" w:hAnsi="仿宋" w:eastAsia="仿宋" w:cs="仿宋"/>
          <w:sz w:val="28"/>
          <w:szCs w:val="28"/>
          <w:lang w:val="en-US" w:eastAsia="zh-CN"/>
        </w:rPr>
        <w:t>参加省</w:t>
      </w:r>
      <w:r>
        <w:rPr>
          <w:rFonts w:hint="eastAsia" w:ascii="仿宋" w:hAnsi="仿宋" w:eastAsia="仿宋" w:cs="仿宋"/>
          <w:sz w:val="28"/>
          <w:szCs w:val="28"/>
          <w:lang w:val="en-US" w:eastAsia="zh-CN"/>
        </w:rPr>
        <w:t>级</w:t>
      </w:r>
      <w:r>
        <w:rPr>
          <w:rFonts w:hint="default" w:ascii="仿宋" w:hAnsi="仿宋" w:eastAsia="仿宋" w:cs="仿宋"/>
          <w:sz w:val="28"/>
          <w:szCs w:val="28"/>
          <w:lang w:val="en-US" w:eastAsia="zh-CN"/>
        </w:rPr>
        <w:t>教学成果奖</w:t>
      </w:r>
      <w:r>
        <w:rPr>
          <w:rFonts w:hint="eastAsia" w:ascii="仿宋" w:hAnsi="仿宋" w:eastAsia="仿宋" w:cs="仿宋"/>
          <w:sz w:val="28"/>
          <w:szCs w:val="28"/>
          <w:lang w:val="en-US" w:eastAsia="zh-CN"/>
        </w:rPr>
        <w:t>的</w:t>
      </w:r>
      <w:r>
        <w:rPr>
          <w:rFonts w:hint="default" w:ascii="仿宋" w:hAnsi="仿宋" w:eastAsia="仿宋" w:cs="仿宋"/>
          <w:sz w:val="28"/>
          <w:szCs w:val="28"/>
          <w:lang w:val="en-US" w:eastAsia="zh-CN"/>
        </w:rPr>
        <w:t>评选</w:t>
      </w:r>
      <w:r>
        <w:rPr>
          <w:rFonts w:hint="eastAsia" w:ascii="仿宋" w:hAnsi="仿宋" w:eastAsia="仿宋" w:cs="仿宋"/>
          <w:sz w:val="28"/>
          <w:szCs w:val="28"/>
          <w:lang w:val="en-US" w:eastAsia="zh-CN"/>
        </w:rPr>
        <w:t>。（教务处）</w:t>
      </w:r>
    </w:p>
    <w:p>
      <w:pPr>
        <w:ind w:firstLine="560" w:firstLineChars="200"/>
        <w:rPr>
          <w:rFonts w:hint="default" w:ascii="仿宋" w:hAnsi="仿宋" w:eastAsia="仿宋" w:cs="仿宋"/>
          <w:sz w:val="28"/>
          <w:szCs w:val="28"/>
          <w:lang w:val="en-US" w:eastAsia="zh-CN"/>
        </w:rPr>
      </w:pPr>
    </w:p>
    <w:p>
      <w:pPr>
        <w:adjustRightInd w:val="0"/>
        <w:snapToGrid w:val="0"/>
        <w:spacing w:line="360" w:lineRule="exact"/>
        <w:ind w:left="-199" w:leftChars="-95" w:firstLine="0" w:firstLineChars="0"/>
        <w:jc w:val="center"/>
        <w:rPr>
          <w:rFonts w:hint="eastAsia" w:ascii="宋体" w:hAnsi="宋体" w:eastAsia="宋体" w:cs="Times New Roman"/>
          <w:b w:val="0"/>
          <w:bCs/>
          <w:sz w:val="28"/>
          <w:szCs w:val="28"/>
          <w:lang w:eastAsia="zh-CN"/>
        </w:rPr>
      </w:pPr>
      <w:r>
        <w:rPr>
          <w:rFonts w:hint="eastAsia" w:ascii="宋体" w:hAnsi="宋体" w:eastAsia="宋体" w:cs="Times New Roman"/>
          <w:b w:val="0"/>
          <w:bCs/>
          <w:sz w:val="28"/>
          <w:szCs w:val="28"/>
          <w:lang w:val="en-US" w:eastAsia="zh-CN"/>
        </w:rPr>
        <w:t>2021年娄底职业技术学院校级</w:t>
      </w:r>
      <w:r>
        <w:rPr>
          <w:rFonts w:hint="eastAsia" w:ascii="宋体" w:hAnsi="宋体" w:eastAsia="宋体" w:cs="Times New Roman"/>
          <w:b w:val="0"/>
          <w:bCs/>
          <w:sz w:val="28"/>
          <w:szCs w:val="28"/>
          <w:lang w:eastAsia="zh-CN"/>
        </w:rPr>
        <w:t>教学成果奖获奖名单</w:t>
      </w:r>
    </w:p>
    <w:p>
      <w:pPr>
        <w:adjustRightInd w:val="0"/>
        <w:snapToGrid w:val="0"/>
        <w:spacing w:line="360" w:lineRule="exact"/>
        <w:ind w:left="-199" w:leftChars="-95" w:firstLine="0" w:firstLineChars="0"/>
        <w:jc w:val="center"/>
        <w:rPr>
          <w:rFonts w:hint="eastAsia" w:ascii="宋体" w:hAnsi="宋体" w:eastAsia="宋体" w:cs="Times New Roman"/>
          <w:b w:val="0"/>
          <w:bCs/>
          <w:sz w:val="28"/>
          <w:szCs w:val="28"/>
          <w:lang w:eastAsia="zh-CN"/>
        </w:rPr>
      </w:pPr>
    </w:p>
    <w:tbl>
      <w:tblPr>
        <w:tblStyle w:val="6"/>
        <w:tblW w:w="55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7525"/>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6" w:type="dxa"/>
            <w:vAlign w:val="center"/>
          </w:tcPr>
          <w:p>
            <w:pPr>
              <w:adjustRightInd w:val="0"/>
              <w:snapToGrid w:val="0"/>
              <w:spacing w:line="360" w:lineRule="exact"/>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获奖等级</w:t>
            </w:r>
          </w:p>
        </w:tc>
        <w:tc>
          <w:tcPr>
            <w:tcW w:w="7525" w:type="dxa"/>
            <w:vAlign w:val="center"/>
          </w:tcPr>
          <w:p>
            <w:pPr>
              <w:adjustRightInd w:val="0"/>
              <w:snapToGrid w:val="0"/>
              <w:spacing w:line="360" w:lineRule="exact"/>
              <w:jc w:val="center"/>
              <w:rPr>
                <w:rFonts w:hint="eastAsia" w:ascii="宋体" w:hAnsi="宋体" w:eastAsia="宋体" w:cs="宋体"/>
                <w:b/>
                <w:bCs/>
                <w:color w:val="000000"/>
                <w:kern w:val="0"/>
                <w:sz w:val="24"/>
                <w:szCs w:val="24"/>
              </w:rPr>
            </w:pPr>
            <w:r>
              <w:rPr>
                <w:rFonts w:hint="eastAsia" w:ascii="宋体" w:hAnsi="宋体" w:eastAsia="宋体" w:cs="宋体"/>
                <w:b/>
                <w:bCs/>
                <w:color w:val="auto"/>
                <w:sz w:val="24"/>
                <w:szCs w:val="24"/>
                <w:highlight w:val="none"/>
                <w:lang w:eastAsia="zh-CN"/>
              </w:rPr>
              <w:t>教学</w:t>
            </w:r>
            <w:r>
              <w:rPr>
                <w:rFonts w:hint="eastAsia" w:ascii="宋体" w:hAnsi="宋体" w:eastAsia="宋体" w:cs="宋体"/>
                <w:b/>
                <w:bCs/>
                <w:color w:val="auto"/>
                <w:sz w:val="24"/>
                <w:szCs w:val="24"/>
                <w:highlight w:val="none"/>
              </w:rPr>
              <w:t>成果名称</w:t>
            </w:r>
          </w:p>
        </w:tc>
        <w:tc>
          <w:tcPr>
            <w:tcW w:w="1041" w:type="dxa"/>
            <w:vAlign w:val="center"/>
          </w:tcPr>
          <w:p>
            <w:pPr>
              <w:snapToGrid w:val="0"/>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16"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b/>
                <w:bCs/>
                <w:i w:val="0"/>
                <w:color w:val="000000"/>
                <w:kern w:val="0"/>
                <w:sz w:val="21"/>
                <w:szCs w:val="21"/>
                <w:u w:val="none"/>
                <w:lang w:val="en-US" w:eastAsia="zh-CN" w:bidi="ar"/>
              </w:rPr>
              <w:t>一等奖</w:t>
            </w:r>
          </w:p>
        </w:tc>
        <w:tc>
          <w:tcPr>
            <w:tcW w:w="7525" w:type="dxa"/>
            <w:vAlign w:val="center"/>
          </w:tcPr>
          <w:p>
            <w:pPr>
              <w:keepNext w:val="0"/>
              <w:keepLines w:val="0"/>
              <w:widowControl/>
              <w:suppressLineNumbers w:val="0"/>
              <w:jc w:val="center"/>
              <w:textAlignment w:val="center"/>
              <w:rPr>
                <w:rFonts w:hint="eastAsia" w:ascii="仿宋" w:hAnsi="仿宋" w:eastAsia="仿宋" w:cs="仿宋"/>
                <w:sz w:val="24"/>
                <w:szCs w:val="24"/>
                <w:lang w:eastAsia="zh-CN"/>
              </w:rPr>
            </w:pPr>
            <w:r>
              <w:rPr>
                <w:rFonts w:hint="eastAsia" w:ascii="仿宋" w:hAnsi="仿宋" w:eastAsia="仿宋" w:cs="仿宋"/>
                <w:i w:val="0"/>
                <w:color w:val="000000"/>
                <w:kern w:val="0"/>
                <w:sz w:val="21"/>
                <w:szCs w:val="21"/>
                <w:u w:val="none"/>
                <w:lang w:val="en-US" w:eastAsia="zh-CN" w:bidi="ar"/>
              </w:rPr>
              <w:t>“</w:t>
            </w:r>
            <w:r>
              <w:rPr>
                <w:rStyle w:val="15"/>
                <w:rFonts w:hint="eastAsia" w:ascii="仿宋" w:hAnsi="仿宋" w:eastAsia="仿宋" w:cs="仿宋"/>
                <w:lang w:val="en-US" w:eastAsia="zh-CN" w:bidi="ar"/>
              </w:rPr>
              <w:t>三融三合”乡村振兴人才培养模式的研究与实践</w:t>
            </w:r>
          </w:p>
        </w:tc>
        <w:tc>
          <w:tcPr>
            <w:tcW w:w="1041" w:type="dxa"/>
            <w:vAlign w:val="center"/>
          </w:tcPr>
          <w:p>
            <w:pPr>
              <w:snapToGrid w:val="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推荐</w:t>
            </w:r>
          </w:p>
          <w:p>
            <w:pPr>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省厅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16" w:type="dxa"/>
            <w:vMerge w:val="continue"/>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p>
        </w:tc>
        <w:tc>
          <w:tcPr>
            <w:tcW w:w="7525"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1"/>
                <w:szCs w:val="21"/>
                <w:u w:val="none"/>
                <w:lang w:val="en-US" w:eastAsia="zh-CN" w:bidi="ar"/>
              </w:rPr>
              <w:t>助推地方农机产业转型升级的“智造引领、多元融合”协同育人模式创新与实践</w:t>
            </w:r>
          </w:p>
        </w:tc>
        <w:tc>
          <w:tcPr>
            <w:tcW w:w="1041" w:type="dxa"/>
            <w:vAlign w:val="center"/>
          </w:tcPr>
          <w:p>
            <w:pPr>
              <w:snapToGrid w:val="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推荐</w:t>
            </w:r>
          </w:p>
          <w:p>
            <w:pPr>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省厅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16" w:type="dxa"/>
            <w:vMerge w:val="restart"/>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b/>
                <w:bCs/>
                <w:i w:val="0"/>
                <w:color w:val="000000"/>
                <w:kern w:val="0"/>
                <w:sz w:val="21"/>
                <w:szCs w:val="21"/>
                <w:u w:val="none"/>
                <w:lang w:val="en-US" w:eastAsia="zh-CN" w:bidi="ar"/>
              </w:rPr>
              <w:t>二等奖</w:t>
            </w:r>
          </w:p>
        </w:tc>
        <w:tc>
          <w:tcPr>
            <w:tcW w:w="7525"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1"/>
                <w:szCs w:val="21"/>
                <w:u w:val="none"/>
                <w:lang w:val="en-US" w:eastAsia="zh-CN" w:bidi="ar"/>
              </w:rPr>
              <w:t>“医教协同，多元融通”高职护理专业“5+N”素质课程体系的建构与应用</w:t>
            </w:r>
          </w:p>
        </w:tc>
        <w:tc>
          <w:tcPr>
            <w:tcW w:w="1041" w:type="dxa"/>
            <w:vAlign w:val="center"/>
          </w:tcPr>
          <w:p>
            <w:pPr>
              <w:snapToGrid w:val="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推荐</w:t>
            </w:r>
          </w:p>
          <w:p>
            <w:pPr>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省厅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16" w:type="dxa"/>
            <w:vMerge w:val="continue"/>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p>
        </w:tc>
        <w:tc>
          <w:tcPr>
            <w:tcW w:w="7525"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1"/>
                <w:szCs w:val="21"/>
                <w:u w:val="none"/>
                <w:lang w:val="en-US" w:eastAsia="zh-CN" w:bidi="ar"/>
              </w:rPr>
              <w:t>二双协同•四位融通•四级递进：信息类专业高技能人才培养模式创新与实践</w:t>
            </w:r>
          </w:p>
        </w:tc>
        <w:tc>
          <w:tcPr>
            <w:tcW w:w="1041" w:type="dxa"/>
            <w:vAlign w:val="center"/>
          </w:tcPr>
          <w:p>
            <w:pPr>
              <w:snapToGrid w:val="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推荐</w:t>
            </w:r>
          </w:p>
          <w:p>
            <w:pPr>
              <w:snapToGrid w:val="0"/>
              <w:jc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省厅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16" w:type="dxa"/>
            <w:vMerge w:val="continue"/>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p>
        </w:tc>
        <w:tc>
          <w:tcPr>
            <w:tcW w:w="7525" w:type="dxa"/>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i w:val="0"/>
                <w:color w:val="000000"/>
                <w:kern w:val="0"/>
                <w:sz w:val="21"/>
                <w:szCs w:val="21"/>
                <w:u w:val="none"/>
                <w:lang w:val="en-US" w:eastAsia="zh-CN" w:bidi="ar"/>
              </w:rPr>
              <w:t>基于提升学生英语学科核心素养的高职公共英语“三维六融”课程建设与实践</w:t>
            </w:r>
          </w:p>
        </w:tc>
        <w:tc>
          <w:tcPr>
            <w:tcW w:w="1041" w:type="dxa"/>
            <w:vAlign w:val="center"/>
          </w:tcPr>
          <w:p>
            <w:pPr>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16" w:type="dxa"/>
            <w:vMerge w:val="restart"/>
            <w:vAlign w:val="center"/>
          </w:tcPr>
          <w:p>
            <w:pPr>
              <w:keepNext w:val="0"/>
              <w:keepLines w:val="0"/>
              <w:widowControl/>
              <w:suppressLineNumbers w:val="0"/>
              <w:jc w:val="center"/>
              <w:textAlignment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b/>
                <w:bCs/>
                <w:i w:val="0"/>
                <w:color w:val="000000"/>
                <w:kern w:val="0"/>
                <w:sz w:val="21"/>
                <w:szCs w:val="21"/>
                <w:u w:val="none"/>
                <w:lang w:val="en-US" w:eastAsia="zh-CN" w:bidi="ar"/>
              </w:rPr>
              <w:t>三等奖</w:t>
            </w:r>
          </w:p>
        </w:tc>
        <w:tc>
          <w:tcPr>
            <w:tcW w:w="7525" w:type="dxa"/>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i w:val="0"/>
                <w:color w:val="000000"/>
                <w:kern w:val="0"/>
                <w:sz w:val="21"/>
                <w:szCs w:val="21"/>
                <w:u w:val="none"/>
                <w:lang w:val="en-US" w:eastAsia="zh-CN" w:bidi="ar"/>
              </w:rPr>
              <w:t>提高学生实践动手能力完善创新创业创效实践教育体系的探索与实践</w:t>
            </w:r>
          </w:p>
        </w:tc>
        <w:tc>
          <w:tcPr>
            <w:tcW w:w="1041" w:type="dxa"/>
            <w:vAlign w:val="center"/>
          </w:tcPr>
          <w:p>
            <w:pPr>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16" w:type="dxa"/>
            <w:vMerge w:val="continue"/>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p>
        </w:tc>
        <w:tc>
          <w:tcPr>
            <w:tcW w:w="7525" w:type="dxa"/>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i w:val="0"/>
                <w:color w:val="000000"/>
                <w:kern w:val="0"/>
                <w:sz w:val="21"/>
                <w:szCs w:val="21"/>
                <w:u w:val="none"/>
                <w:lang w:val="en-US" w:eastAsia="zh-CN" w:bidi="ar"/>
              </w:rPr>
              <w:t>乡村振兴背景下高职涉农特色专创一体化育人平台的构建与实践</w:t>
            </w:r>
          </w:p>
        </w:tc>
        <w:tc>
          <w:tcPr>
            <w:tcW w:w="1041" w:type="dxa"/>
            <w:vAlign w:val="center"/>
          </w:tcPr>
          <w:p>
            <w:pPr>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16" w:type="dxa"/>
            <w:vMerge w:val="continue"/>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p>
        </w:tc>
        <w:tc>
          <w:tcPr>
            <w:tcW w:w="7525" w:type="dxa"/>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i w:val="0"/>
                <w:color w:val="000000"/>
                <w:kern w:val="0"/>
                <w:sz w:val="21"/>
                <w:szCs w:val="21"/>
                <w:u w:val="none"/>
                <w:lang w:val="en-US" w:eastAsia="zh-CN" w:bidi="ar"/>
              </w:rPr>
              <w:t>基于《综合素质拓展》课程开展管理与课程融合育人的教育实践创新研究</w:t>
            </w:r>
          </w:p>
        </w:tc>
        <w:tc>
          <w:tcPr>
            <w:tcW w:w="1041" w:type="dxa"/>
            <w:vAlign w:val="center"/>
          </w:tcPr>
          <w:p>
            <w:pPr>
              <w:snapToGrid w:val="0"/>
              <w:jc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6" w:type="dxa"/>
            <w:vMerge w:val="continue"/>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p>
        </w:tc>
        <w:tc>
          <w:tcPr>
            <w:tcW w:w="7525"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1"/>
                <w:szCs w:val="21"/>
                <w:u w:val="none"/>
                <w:lang w:val="en-US" w:eastAsia="zh-CN" w:bidi="ar"/>
              </w:rPr>
              <w:t>以业绩为导向的高职院校二级学院专业教师绩效考核体系构建与实践</w:t>
            </w:r>
          </w:p>
        </w:tc>
        <w:tc>
          <w:tcPr>
            <w:tcW w:w="1041" w:type="dxa"/>
            <w:vAlign w:val="center"/>
          </w:tcPr>
          <w:p>
            <w:pPr>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16" w:type="dxa"/>
            <w:vMerge w:val="continue"/>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p>
        </w:tc>
        <w:tc>
          <w:tcPr>
            <w:tcW w:w="7525"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1"/>
                <w:szCs w:val="21"/>
                <w:u w:val="none"/>
                <w:lang w:val="en-US" w:eastAsia="zh-CN" w:bidi="ar"/>
              </w:rPr>
              <w:t>基于“</w:t>
            </w:r>
            <w:r>
              <w:rPr>
                <w:rStyle w:val="16"/>
                <w:rFonts w:hint="eastAsia" w:ascii="仿宋" w:hAnsi="仿宋" w:eastAsia="仿宋" w:cs="仿宋"/>
                <w:lang w:val="en-US" w:eastAsia="zh-CN" w:bidi="ar"/>
              </w:rPr>
              <w:t>1+X</w:t>
            </w:r>
            <w:r>
              <w:rPr>
                <w:rStyle w:val="17"/>
                <w:rFonts w:hint="eastAsia" w:ascii="仿宋" w:hAnsi="仿宋" w:eastAsia="仿宋" w:cs="仿宋"/>
                <w:lang w:val="en-US" w:eastAsia="zh-CN" w:bidi="ar"/>
              </w:rPr>
              <w:t>”证、课、赛、创融通的护理专业人才培养模式的探索与实践</w:t>
            </w:r>
          </w:p>
        </w:tc>
        <w:tc>
          <w:tcPr>
            <w:tcW w:w="1041" w:type="dxa"/>
            <w:vAlign w:val="center"/>
          </w:tcPr>
          <w:p>
            <w:pPr>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16" w:type="dxa"/>
            <w:vMerge w:val="continue"/>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p>
        </w:tc>
        <w:tc>
          <w:tcPr>
            <w:tcW w:w="7525"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1"/>
                <w:szCs w:val="21"/>
                <w:u w:val="none"/>
                <w:lang w:val="en-US" w:eastAsia="zh-CN" w:bidi="ar"/>
              </w:rPr>
              <w:t>乡村振兴战略下高职农旅复合创新型人才培养研究与实践</w:t>
            </w:r>
          </w:p>
        </w:tc>
        <w:tc>
          <w:tcPr>
            <w:tcW w:w="1041" w:type="dxa"/>
            <w:vAlign w:val="center"/>
          </w:tcPr>
          <w:p>
            <w:pPr>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16" w:type="dxa"/>
            <w:vMerge w:val="continue"/>
            <w:vAlign w:val="center"/>
          </w:tcPr>
          <w:p>
            <w:pPr>
              <w:keepNext w:val="0"/>
              <w:keepLines w:val="0"/>
              <w:widowControl/>
              <w:suppressLineNumbers w:val="0"/>
              <w:jc w:val="center"/>
              <w:textAlignment w:val="center"/>
              <w:rPr>
                <w:rFonts w:hint="eastAsia" w:ascii="仿宋" w:hAnsi="仿宋" w:eastAsia="仿宋" w:cs="仿宋"/>
                <w:color w:val="000000"/>
                <w:kern w:val="2"/>
                <w:sz w:val="21"/>
                <w:szCs w:val="21"/>
                <w:highlight w:val="none"/>
                <w:lang w:val="en-US" w:eastAsia="zh-CN" w:bidi="ar-SA"/>
              </w:rPr>
            </w:pPr>
          </w:p>
        </w:tc>
        <w:tc>
          <w:tcPr>
            <w:tcW w:w="7525" w:type="dxa"/>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i w:val="0"/>
                <w:color w:val="000000"/>
                <w:kern w:val="0"/>
                <w:sz w:val="21"/>
                <w:szCs w:val="21"/>
                <w:u w:val="none"/>
                <w:lang w:val="en-US" w:eastAsia="zh-CN" w:bidi="ar"/>
              </w:rPr>
              <w:t>基于培养学习兴趣的多元化教学模式研究与实践</w:t>
            </w:r>
          </w:p>
        </w:tc>
        <w:tc>
          <w:tcPr>
            <w:tcW w:w="1041" w:type="dxa"/>
            <w:vAlign w:val="center"/>
          </w:tcPr>
          <w:p>
            <w:pPr>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16" w:type="dxa"/>
            <w:vMerge w:val="continue"/>
            <w:vAlign w:val="center"/>
          </w:tcPr>
          <w:p>
            <w:pPr>
              <w:keepNext w:val="0"/>
              <w:keepLines w:val="0"/>
              <w:widowControl/>
              <w:suppressLineNumbers w:val="0"/>
              <w:jc w:val="center"/>
              <w:textAlignment w:val="center"/>
              <w:rPr>
                <w:rFonts w:hint="eastAsia" w:ascii="仿宋" w:hAnsi="仿宋" w:eastAsia="仿宋" w:cs="仿宋"/>
                <w:color w:val="000000"/>
                <w:kern w:val="2"/>
                <w:sz w:val="21"/>
                <w:szCs w:val="21"/>
                <w:highlight w:val="none"/>
                <w:lang w:val="en-US" w:eastAsia="zh-CN" w:bidi="ar-SA"/>
              </w:rPr>
            </w:pPr>
          </w:p>
        </w:tc>
        <w:tc>
          <w:tcPr>
            <w:tcW w:w="7525" w:type="dxa"/>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i w:val="0"/>
                <w:color w:val="000000"/>
                <w:kern w:val="0"/>
                <w:sz w:val="21"/>
                <w:szCs w:val="21"/>
                <w:u w:val="none"/>
                <w:lang w:val="en-US" w:eastAsia="zh-CN" w:bidi="ar"/>
              </w:rPr>
              <w:t>“逻辑联结，理性与感性思维和谐共力”的艺术设计类专业课程建设与实践</w:t>
            </w:r>
          </w:p>
        </w:tc>
        <w:tc>
          <w:tcPr>
            <w:tcW w:w="1041" w:type="dxa"/>
            <w:vAlign w:val="center"/>
          </w:tcPr>
          <w:p>
            <w:pPr>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16" w:type="dxa"/>
            <w:vMerge w:val="continue"/>
            <w:vAlign w:val="center"/>
          </w:tcPr>
          <w:p>
            <w:pPr>
              <w:keepNext w:val="0"/>
              <w:keepLines w:val="0"/>
              <w:widowControl/>
              <w:suppressLineNumbers w:val="0"/>
              <w:jc w:val="center"/>
              <w:textAlignment w:val="center"/>
              <w:rPr>
                <w:rFonts w:hint="eastAsia" w:ascii="仿宋" w:hAnsi="仿宋" w:eastAsia="仿宋" w:cs="仿宋"/>
                <w:color w:val="000000"/>
                <w:kern w:val="2"/>
                <w:sz w:val="21"/>
                <w:szCs w:val="21"/>
                <w:highlight w:val="none"/>
                <w:lang w:val="en-US" w:eastAsia="zh-CN" w:bidi="ar-SA"/>
              </w:rPr>
            </w:pPr>
          </w:p>
        </w:tc>
        <w:tc>
          <w:tcPr>
            <w:tcW w:w="7525" w:type="dxa"/>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i w:val="0"/>
                <w:color w:val="000000"/>
                <w:kern w:val="0"/>
                <w:sz w:val="21"/>
                <w:szCs w:val="21"/>
                <w:u w:val="none"/>
                <w:lang w:val="en-US" w:eastAsia="zh-CN" w:bidi="ar"/>
              </w:rPr>
              <w:t>农机智能制造专业群1+X证书课证融通教学改革实践研究</w:t>
            </w:r>
          </w:p>
        </w:tc>
        <w:tc>
          <w:tcPr>
            <w:tcW w:w="1041" w:type="dxa"/>
            <w:vAlign w:val="center"/>
          </w:tcPr>
          <w:p>
            <w:pPr>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 </w:t>
            </w:r>
          </w:p>
        </w:tc>
      </w:tr>
    </w:tbl>
    <w:p>
      <w:pPr>
        <w:rPr>
          <w:rFonts w:hint="eastAsia" w:ascii="仿宋" w:hAnsi="仿宋" w:eastAsia="仿宋" w:cs="仿宋"/>
          <w:kern w:val="2"/>
          <w:sz w:val="28"/>
          <w:szCs w:val="28"/>
          <w:lang w:val="en-US" w:eastAsia="zh-CN" w:bidi="ar-SA"/>
        </w:rPr>
      </w:pPr>
    </w:p>
    <w:p>
      <w:pPr>
        <w:jc w:val="center"/>
        <w:rPr>
          <w:rFonts w:hint="eastAsia" w:ascii="仿宋" w:hAnsi="仿宋" w:eastAsia="仿宋" w:cs="仿宋"/>
          <w:b/>
          <w:bCs/>
          <w:kern w:val="2"/>
          <w:sz w:val="36"/>
          <w:szCs w:val="36"/>
          <w:lang w:val="en-US" w:eastAsia="zh-CN" w:bidi="ar-SA"/>
        </w:rPr>
      </w:pPr>
      <w:r>
        <w:rPr>
          <w:rFonts w:hint="eastAsia" w:ascii="仿宋" w:hAnsi="仿宋" w:eastAsia="仿宋" w:cs="仿宋"/>
          <w:b/>
          <w:bCs/>
          <w:kern w:val="2"/>
          <w:sz w:val="36"/>
          <w:szCs w:val="36"/>
          <w:lang w:val="en-US" w:eastAsia="zh-CN" w:bidi="ar-SA"/>
        </w:rPr>
        <w:t>我校教师在2021年湖南省职业院校</w:t>
      </w:r>
    </w:p>
    <w:p>
      <w:pPr>
        <w:jc w:val="center"/>
        <w:rPr>
          <w:rFonts w:hint="eastAsia" w:ascii="仿宋" w:hAnsi="仿宋" w:eastAsia="仿宋" w:cs="仿宋"/>
          <w:b/>
          <w:bCs/>
          <w:kern w:val="2"/>
          <w:sz w:val="36"/>
          <w:szCs w:val="36"/>
          <w:lang w:val="en-US" w:eastAsia="zh-CN" w:bidi="ar-SA"/>
        </w:rPr>
      </w:pPr>
      <w:r>
        <w:rPr>
          <w:rFonts w:hint="eastAsia" w:ascii="仿宋" w:hAnsi="仿宋" w:eastAsia="仿宋" w:cs="仿宋"/>
          <w:b/>
          <w:bCs/>
          <w:kern w:val="2"/>
          <w:sz w:val="36"/>
          <w:szCs w:val="36"/>
          <w:lang w:val="en-US" w:eastAsia="zh-CN" w:bidi="ar-SA"/>
        </w:rPr>
        <w:t>教师职业能力竞赛教学能力比赛中喜获佳绩</w:t>
      </w:r>
    </w:p>
    <w:p>
      <w:pPr>
        <w:jc w:val="center"/>
        <w:rPr>
          <w:rFonts w:hint="eastAsia" w:ascii="仿宋" w:hAnsi="仿宋" w:eastAsia="仿宋" w:cs="仿宋"/>
          <w:b/>
          <w:bCs/>
          <w:kern w:val="2"/>
          <w:sz w:val="36"/>
          <w:szCs w:val="36"/>
          <w:lang w:val="en-US" w:eastAsia="zh-CN" w:bidi="ar-SA"/>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湖南省职业院校教师职业能力竞赛教学能力比赛结果于8月1日揭晓，我校十支教师队伍参与了包括装备制造大类、财经商贸大类在内的7个专业大类的比赛。曹滢丹团队、邓思琴团队等九支队伍分别在三个组别的竞争中突出重围，获得省赛三等奖的佳绩，获奖率创历史新高。</w:t>
      </w:r>
    </w:p>
    <w:p>
      <w:pPr>
        <w:jc w:val="center"/>
        <w:rPr>
          <w:rFonts w:hint="eastAsia" w:ascii="仿宋" w:hAnsi="仿宋" w:eastAsia="仿宋" w:cs="仿宋"/>
          <w:b/>
          <w:bCs/>
          <w:sz w:val="28"/>
          <w:szCs w:val="28"/>
          <w:lang w:val="en-US" w:eastAsia="zh-CN"/>
        </w:rPr>
      </w:pPr>
      <w:r>
        <w:rPr>
          <w:rFonts w:hint="eastAsia" w:ascii="仿宋" w:hAnsi="仿宋" w:eastAsia="仿宋" w:cs="仿宋"/>
          <w:b/>
          <w:bCs/>
          <w:kern w:val="2"/>
          <w:sz w:val="28"/>
          <w:szCs w:val="28"/>
          <w:lang w:val="en-US" w:eastAsia="zh-CN" w:bidi="ar-SA"/>
        </w:rPr>
        <w:t>2021年湖南省职业院校教学能力比赛我校团队获奖名单</w:t>
      </w:r>
    </w:p>
    <w:tbl>
      <w:tblPr>
        <w:tblStyle w:val="6"/>
        <w:tblW w:w="8479" w:type="dxa"/>
        <w:jc w:val="center"/>
        <w:tblLayout w:type="fixed"/>
        <w:tblCellMar>
          <w:top w:w="0" w:type="dxa"/>
          <w:left w:w="108" w:type="dxa"/>
          <w:bottom w:w="0" w:type="dxa"/>
          <w:right w:w="108" w:type="dxa"/>
        </w:tblCellMar>
      </w:tblPr>
      <w:tblGrid>
        <w:gridCol w:w="729"/>
        <w:gridCol w:w="4239"/>
        <w:gridCol w:w="1947"/>
        <w:gridCol w:w="1564"/>
      </w:tblGrid>
      <w:tr>
        <w:tblPrEx>
          <w:tblCellMar>
            <w:top w:w="0" w:type="dxa"/>
            <w:left w:w="108" w:type="dxa"/>
            <w:bottom w:w="0" w:type="dxa"/>
            <w:right w:w="108" w:type="dxa"/>
          </w:tblCellMar>
        </w:tblPrEx>
        <w:trPr>
          <w:trHeight w:val="790" w:hRule="atLeast"/>
          <w:jc w:val="center"/>
        </w:trPr>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b/>
                <w:bCs/>
                <w:color w:val="000000"/>
                <w:kern w:val="0"/>
                <w:sz w:val="24"/>
                <w:szCs w:val="24"/>
                <w:lang w:eastAsia="zh-CN"/>
              </w:rPr>
            </w:pPr>
            <w:r>
              <w:rPr>
                <w:rFonts w:hint="eastAsia" w:ascii="宋体" w:hAnsi="宋体" w:cs="宋体"/>
                <w:b/>
                <w:bCs/>
                <w:color w:val="000000"/>
                <w:kern w:val="0"/>
                <w:sz w:val="24"/>
                <w:szCs w:val="24"/>
                <w:lang w:eastAsia="zh-CN"/>
              </w:rPr>
              <w:t>序号</w:t>
            </w:r>
          </w:p>
        </w:tc>
        <w:tc>
          <w:tcPr>
            <w:tcW w:w="4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团队成员姓名</w:t>
            </w:r>
          </w:p>
        </w:tc>
        <w:tc>
          <w:tcPr>
            <w:tcW w:w="19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b/>
                <w:bCs/>
                <w:color w:val="000000"/>
                <w:kern w:val="0"/>
                <w:sz w:val="24"/>
                <w:szCs w:val="24"/>
                <w:lang w:eastAsia="zh-CN"/>
              </w:rPr>
            </w:pPr>
            <w:r>
              <w:rPr>
                <w:rFonts w:hint="eastAsia" w:ascii="宋体" w:hAnsi="宋体" w:cs="宋体"/>
                <w:b/>
                <w:bCs/>
                <w:color w:val="000000"/>
                <w:kern w:val="0"/>
                <w:sz w:val="24"/>
                <w:szCs w:val="24"/>
              </w:rPr>
              <w:t>参赛组别</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4"/>
                <w:szCs w:val="24"/>
                <w:lang w:eastAsia="zh-CN"/>
              </w:rPr>
            </w:pPr>
            <w:r>
              <w:rPr>
                <w:rFonts w:hint="eastAsia" w:ascii="宋体" w:hAnsi="宋体" w:cs="宋体"/>
                <w:b/>
                <w:bCs/>
                <w:color w:val="000000"/>
                <w:kern w:val="0"/>
                <w:sz w:val="24"/>
                <w:szCs w:val="24"/>
                <w:lang w:eastAsia="zh-CN"/>
              </w:rPr>
              <w:t>获奖等级</w:t>
            </w:r>
          </w:p>
        </w:tc>
      </w:tr>
      <w:tr>
        <w:tblPrEx>
          <w:tblCellMar>
            <w:top w:w="0" w:type="dxa"/>
            <w:left w:w="108" w:type="dxa"/>
            <w:bottom w:w="0" w:type="dxa"/>
            <w:right w:w="108" w:type="dxa"/>
          </w:tblCellMar>
        </w:tblPrEx>
        <w:trPr>
          <w:trHeight w:val="681" w:hRule="atLeast"/>
          <w:jc w:val="center"/>
        </w:trPr>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23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曹滢丹、李洁、王豪、彭李博</w:t>
            </w:r>
          </w:p>
        </w:tc>
        <w:tc>
          <w:tcPr>
            <w:tcW w:w="194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专业课程一组</w:t>
            </w:r>
          </w:p>
        </w:tc>
        <w:tc>
          <w:tcPr>
            <w:tcW w:w="156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三等奖</w:t>
            </w:r>
          </w:p>
        </w:tc>
      </w:tr>
      <w:tr>
        <w:tblPrEx>
          <w:tblCellMar>
            <w:top w:w="0" w:type="dxa"/>
            <w:left w:w="108" w:type="dxa"/>
            <w:bottom w:w="0" w:type="dxa"/>
            <w:right w:w="108" w:type="dxa"/>
          </w:tblCellMar>
        </w:tblPrEx>
        <w:trPr>
          <w:trHeight w:val="661" w:hRule="atLeast"/>
          <w:jc w:val="center"/>
        </w:trPr>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23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邓思琴、罗华、刘英俊、肖常纬</w:t>
            </w:r>
          </w:p>
        </w:tc>
        <w:tc>
          <w:tcPr>
            <w:tcW w:w="194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专业课程一组</w:t>
            </w:r>
          </w:p>
        </w:tc>
        <w:tc>
          <w:tcPr>
            <w:tcW w:w="156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三等奖</w:t>
            </w:r>
          </w:p>
        </w:tc>
      </w:tr>
      <w:tr>
        <w:tblPrEx>
          <w:tblCellMar>
            <w:top w:w="0" w:type="dxa"/>
            <w:left w:w="108" w:type="dxa"/>
            <w:bottom w:w="0" w:type="dxa"/>
            <w:right w:w="108" w:type="dxa"/>
          </w:tblCellMar>
        </w:tblPrEx>
        <w:trPr>
          <w:trHeight w:val="651" w:hRule="atLeast"/>
          <w:jc w:val="center"/>
        </w:trPr>
        <w:tc>
          <w:tcPr>
            <w:tcW w:w="72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423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田延豹、朱永星、周锡、龙育才</w:t>
            </w:r>
          </w:p>
        </w:tc>
        <w:tc>
          <w:tcPr>
            <w:tcW w:w="1947"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专业课程一组</w:t>
            </w:r>
          </w:p>
        </w:tc>
        <w:tc>
          <w:tcPr>
            <w:tcW w:w="1564"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三等奖</w:t>
            </w:r>
          </w:p>
        </w:tc>
      </w:tr>
      <w:tr>
        <w:tblPrEx>
          <w:tblCellMar>
            <w:top w:w="0" w:type="dxa"/>
            <w:left w:w="108" w:type="dxa"/>
            <w:bottom w:w="0" w:type="dxa"/>
            <w:right w:w="108" w:type="dxa"/>
          </w:tblCellMar>
        </w:tblPrEx>
        <w:trPr>
          <w:trHeight w:val="701" w:hRule="atLeast"/>
          <w:jc w:val="center"/>
        </w:trPr>
        <w:tc>
          <w:tcPr>
            <w:tcW w:w="72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23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刘双平、郭赞伟、邱珊、李倩琪</w:t>
            </w:r>
          </w:p>
        </w:tc>
        <w:tc>
          <w:tcPr>
            <w:tcW w:w="1947"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专业课程一组</w:t>
            </w:r>
          </w:p>
        </w:tc>
        <w:tc>
          <w:tcPr>
            <w:tcW w:w="1564"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三等奖</w:t>
            </w:r>
          </w:p>
        </w:tc>
      </w:tr>
      <w:tr>
        <w:tblPrEx>
          <w:tblCellMar>
            <w:top w:w="0" w:type="dxa"/>
            <w:left w:w="108" w:type="dxa"/>
            <w:bottom w:w="0" w:type="dxa"/>
            <w:right w:w="108" w:type="dxa"/>
          </w:tblCellMar>
        </w:tblPrEx>
        <w:trPr>
          <w:trHeight w:val="711" w:hRule="atLeast"/>
          <w:jc w:val="center"/>
        </w:trPr>
        <w:tc>
          <w:tcPr>
            <w:tcW w:w="72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5</w:t>
            </w:r>
          </w:p>
        </w:tc>
        <w:tc>
          <w:tcPr>
            <w:tcW w:w="423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喻彩霞、 邱智鸿、邹慧鹏、黄惠妮</w:t>
            </w:r>
          </w:p>
        </w:tc>
        <w:tc>
          <w:tcPr>
            <w:tcW w:w="1947"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专业课程一组</w:t>
            </w:r>
          </w:p>
        </w:tc>
        <w:tc>
          <w:tcPr>
            <w:tcW w:w="1564"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三等奖</w:t>
            </w:r>
          </w:p>
        </w:tc>
      </w:tr>
      <w:tr>
        <w:tblPrEx>
          <w:tblCellMar>
            <w:top w:w="0" w:type="dxa"/>
            <w:left w:w="108" w:type="dxa"/>
            <w:bottom w:w="0" w:type="dxa"/>
            <w:right w:w="108" w:type="dxa"/>
          </w:tblCellMar>
        </w:tblPrEx>
        <w:trPr>
          <w:trHeight w:val="701" w:hRule="atLeast"/>
          <w:jc w:val="center"/>
        </w:trPr>
        <w:tc>
          <w:tcPr>
            <w:tcW w:w="72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423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张翠娟、朱冬、向浪、周耿</w:t>
            </w:r>
          </w:p>
        </w:tc>
        <w:tc>
          <w:tcPr>
            <w:tcW w:w="1947"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专业课程二组</w:t>
            </w:r>
          </w:p>
        </w:tc>
        <w:tc>
          <w:tcPr>
            <w:tcW w:w="1564"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三等奖</w:t>
            </w:r>
          </w:p>
        </w:tc>
      </w:tr>
      <w:tr>
        <w:tblPrEx>
          <w:tblCellMar>
            <w:top w:w="0" w:type="dxa"/>
            <w:left w:w="108" w:type="dxa"/>
            <w:bottom w:w="0" w:type="dxa"/>
            <w:right w:w="108" w:type="dxa"/>
          </w:tblCellMar>
        </w:tblPrEx>
        <w:trPr>
          <w:trHeight w:val="681" w:hRule="atLeast"/>
          <w:jc w:val="center"/>
        </w:trPr>
        <w:tc>
          <w:tcPr>
            <w:tcW w:w="72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7</w:t>
            </w:r>
          </w:p>
        </w:tc>
        <w:tc>
          <w:tcPr>
            <w:tcW w:w="423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谢政权、彭豪、童鹏、何文静</w:t>
            </w:r>
          </w:p>
        </w:tc>
        <w:tc>
          <w:tcPr>
            <w:tcW w:w="1947"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专业课程二组</w:t>
            </w:r>
          </w:p>
        </w:tc>
        <w:tc>
          <w:tcPr>
            <w:tcW w:w="1564"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三等奖</w:t>
            </w:r>
          </w:p>
        </w:tc>
      </w:tr>
      <w:tr>
        <w:tblPrEx>
          <w:tblCellMar>
            <w:top w:w="0" w:type="dxa"/>
            <w:left w:w="108" w:type="dxa"/>
            <w:bottom w:w="0" w:type="dxa"/>
            <w:right w:w="108" w:type="dxa"/>
          </w:tblCellMar>
        </w:tblPrEx>
        <w:trPr>
          <w:trHeight w:val="661" w:hRule="atLeast"/>
          <w:jc w:val="center"/>
        </w:trPr>
        <w:tc>
          <w:tcPr>
            <w:tcW w:w="72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8</w:t>
            </w:r>
          </w:p>
        </w:tc>
        <w:tc>
          <w:tcPr>
            <w:tcW w:w="423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赵熹妮、姚娟、田玉、张湘波</w:t>
            </w:r>
          </w:p>
        </w:tc>
        <w:tc>
          <w:tcPr>
            <w:tcW w:w="1947"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公共基础课程组</w:t>
            </w:r>
          </w:p>
        </w:tc>
        <w:tc>
          <w:tcPr>
            <w:tcW w:w="1564"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三等奖</w:t>
            </w:r>
          </w:p>
        </w:tc>
      </w:tr>
      <w:tr>
        <w:tblPrEx>
          <w:tblCellMar>
            <w:top w:w="0" w:type="dxa"/>
            <w:left w:w="108" w:type="dxa"/>
            <w:bottom w:w="0" w:type="dxa"/>
            <w:right w:w="108" w:type="dxa"/>
          </w:tblCellMar>
        </w:tblPrEx>
        <w:trPr>
          <w:trHeight w:val="701" w:hRule="atLeast"/>
          <w:jc w:val="center"/>
        </w:trPr>
        <w:tc>
          <w:tcPr>
            <w:tcW w:w="72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423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邱晓霞、钱朝军、周莎莎</w:t>
            </w:r>
          </w:p>
        </w:tc>
        <w:tc>
          <w:tcPr>
            <w:tcW w:w="1947"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公共基础课程组</w:t>
            </w:r>
          </w:p>
        </w:tc>
        <w:tc>
          <w:tcPr>
            <w:tcW w:w="1564"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三等奖</w:t>
            </w:r>
          </w:p>
        </w:tc>
      </w:tr>
    </w:tbl>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师职业能力竞赛旨在引导广大教师传承发扬楚怡职业教育精神，落实立德树人根本任务，切实推进国家和省职业教育教学标准落地，不断提升自身师德践行能力、专业教学能力、综合育人能力和自主发展能力，打造更多“金课”，确保人才培养质量不断提高。</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我校将</w:t>
      </w:r>
      <w:bookmarkStart w:id="0" w:name="_GoBack"/>
      <w:bookmarkEnd w:id="0"/>
      <w:r>
        <w:rPr>
          <w:rFonts w:hint="eastAsia" w:ascii="仿宋" w:hAnsi="仿宋" w:eastAsia="仿宋" w:cs="仿宋"/>
          <w:sz w:val="28"/>
          <w:szCs w:val="28"/>
          <w:lang w:val="en-US" w:eastAsia="zh-CN"/>
        </w:rPr>
        <w:t>始终秉持“以赛促教、以赛促研，以赛促建、以赛促改”的理念，全力构建“三全育人”体系，持续深化“三教”改革，为教师综合素质、专业化水平和创新能力的全面提升提供支持与保障，着力打造高水平、结构化专业与课程教学团队，不断提升办学水平，为服务“三高四新”战略做出更大贡献。（教务处）</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【质量监控】</w:t>
      </w:r>
    </w:p>
    <w:p>
      <w:pPr>
        <w:rPr>
          <w:rFonts w:hint="eastAsia" w:ascii="仿宋" w:hAnsi="仿宋" w:eastAsia="仿宋" w:cs="仿宋"/>
          <w:sz w:val="28"/>
          <w:szCs w:val="28"/>
          <w:lang w:val="en-US" w:eastAsia="zh-CN"/>
        </w:rPr>
      </w:pPr>
    </w:p>
    <w:p>
      <w:pPr>
        <w:ind w:firstLine="56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2021-2022学年第一学期开学教学检查通报</w:t>
      </w:r>
    </w:p>
    <w:p>
      <w:pPr>
        <w:ind w:firstLine="560"/>
        <w:jc w:val="center"/>
        <w:rPr>
          <w:rFonts w:hint="default" w:ascii="仿宋" w:hAnsi="仿宋" w:eastAsia="仿宋" w:cs="仿宋"/>
          <w:b/>
          <w:bCs/>
          <w:sz w:val="36"/>
          <w:szCs w:val="36"/>
          <w:lang w:val="en-US" w:eastAsia="zh-CN"/>
        </w:rPr>
      </w:pPr>
    </w:p>
    <w:p>
      <w:pPr>
        <w:ind w:firstLine="560"/>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为了全面了解新学期开学情况，确保新学期开学教学工作顺利进行，</w:t>
      </w:r>
      <w:r>
        <w:rPr>
          <w:rFonts w:hint="default" w:ascii="仿宋" w:hAnsi="仿宋" w:eastAsia="仿宋" w:cs="仿宋"/>
          <w:sz w:val="28"/>
          <w:szCs w:val="28"/>
          <w:lang w:val="en-US" w:eastAsia="zh-CN"/>
        </w:rPr>
        <w:t>教务处</w:t>
      </w:r>
      <w:r>
        <w:rPr>
          <w:rFonts w:hint="eastAsia" w:ascii="仿宋" w:hAnsi="仿宋" w:eastAsia="仿宋" w:cs="仿宋"/>
          <w:sz w:val="28"/>
          <w:szCs w:val="28"/>
          <w:lang w:val="en-US" w:eastAsia="zh-CN"/>
        </w:rPr>
        <w:t>于9月3日</w:t>
      </w:r>
      <w:r>
        <w:rPr>
          <w:rFonts w:hint="default" w:ascii="仿宋" w:hAnsi="仿宋" w:eastAsia="仿宋" w:cs="仿宋"/>
          <w:sz w:val="28"/>
          <w:szCs w:val="28"/>
          <w:lang w:val="en-US" w:eastAsia="zh-CN"/>
        </w:rPr>
        <w:t>召开</w:t>
      </w:r>
      <w:r>
        <w:rPr>
          <w:rFonts w:hint="eastAsia" w:ascii="仿宋" w:hAnsi="仿宋" w:eastAsia="仿宋" w:cs="仿宋"/>
          <w:sz w:val="28"/>
          <w:szCs w:val="28"/>
          <w:lang w:val="en-US" w:eastAsia="zh-CN"/>
        </w:rPr>
        <w:t>教学副院长（副主任）会议，</w:t>
      </w:r>
      <w:r>
        <w:rPr>
          <w:rFonts w:hint="default" w:ascii="仿宋" w:hAnsi="仿宋" w:eastAsia="仿宋" w:cs="仿宋"/>
          <w:sz w:val="28"/>
          <w:szCs w:val="28"/>
          <w:lang w:val="en-US" w:eastAsia="zh-CN"/>
        </w:rPr>
        <w:t>对</w:t>
      </w:r>
      <w:r>
        <w:rPr>
          <w:rFonts w:hint="eastAsia" w:ascii="仿宋" w:hAnsi="仿宋" w:eastAsia="仿宋" w:cs="仿宋"/>
          <w:sz w:val="28"/>
          <w:szCs w:val="28"/>
          <w:lang w:val="en-US" w:eastAsia="zh-CN"/>
        </w:rPr>
        <w:t>全校的</w:t>
      </w:r>
      <w:r>
        <w:rPr>
          <w:rFonts w:hint="default" w:ascii="仿宋" w:hAnsi="仿宋" w:eastAsia="仿宋" w:cs="仿宋"/>
          <w:sz w:val="28"/>
          <w:szCs w:val="28"/>
          <w:lang w:val="en-US" w:eastAsia="zh-CN"/>
        </w:rPr>
        <w:t>期初教学工作</w:t>
      </w:r>
      <w:r>
        <w:rPr>
          <w:rFonts w:hint="eastAsia" w:ascii="仿宋" w:hAnsi="仿宋" w:eastAsia="仿宋" w:cs="仿宋"/>
          <w:sz w:val="28"/>
          <w:szCs w:val="28"/>
          <w:lang w:val="en-US" w:eastAsia="zh-CN"/>
        </w:rPr>
        <w:t>及</w:t>
      </w:r>
      <w:r>
        <w:rPr>
          <w:rFonts w:hint="default" w:ascii="仿宋" w:hAnsi="仿宋" w:eastAsia="仿宋" w:cs="仿宋"/>
          <w:sz w:val="28"/>
          <w:szCs w:val="28"/>
          <w:lang w:val="en-US" w:eastAsia="zh-CN"/>
        </w:rPr>
        <w:t>期初教学检查</w:t>
      </w:r>
      <w:r>
        <w:rPr>
          <w:rFonts w:hint="eastAsia" w:ascii="仿宋" w:hAnsi="仿宋" w:eastAsia="仿宋" w:cs="仿宋"/>
          <w:sz w:val="28"/>
          <w:szCs w:val="28"/>
          <w:lang w:val="en-US" w:eastAsia="zh-CN"/>
        </w:rPr>
        <w:t>工作</w:t>
      </w:r>
      <w:r>
        <w:rPr>
          <w:rFonts w:hint="default" w:ascii="仿宋" w:hAnsi="仿宋" w:eastAsia="仿宋" w:cs="仿宋"/>
          <w:sz w:val="28"/>
          <w:szCs w:val="28"/>
          <w:lang w:val="en-US" w:eastAsia="zh-CN"/>
        </w:rPr>
        <w:t>进行</w:t>
      </w:r>
      <w:r>
        <w:rPr>
          <w:rFonts w:hint="eastAsia" w:ascii="仿宋" w:hAnsi="仿宋" w:eastAsia="仿宋" w:cs="仿宋"/>
          <w:sz w:val="28"/>
          <w:szCs w:val="28"/>
          <w:lang w:val="en-US" w:eastAsia="zh-CN"/>
        </w:rPr>
        <w:t>了安排和部署</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副校长游新娥强调要</w:t>
      </w:r>
      <w:r>
        <w:rPr>
          <w:rFonts w:hint="eastAsia" w:ascii="仿宋" w:hAnsi="仿宋" w:eastAsia="仿宋" w:cs="仿宋"/>
          <w:b/>
          <w:bCs/>
          <w:sz w:val="28"/>
          <w:szCs w:val="28"/>
          <w:lang w:val="en-US" w:eastAsia="zh-CN"/>
        </w:rPr>
        <w:t>做细开学、开课、开讲的准备工作</w:t>
      </w:r>
      <w:r>
        <w:rPr>
          <w:rFonts w:hint="eastAsia" w:ascii="仿宋" w:hAnsi="仿宋" w:eastAsia="仿宋" w:cs="仿宋"/>
          <w:sz w:val="28"/>
          <w:szCs w:val="28"/>
          <w:lang w:val="en-US" w:eastAsia="zh-CN"/>
        </w:rPr>
        <w:t>，</w:t>
      </w:r>
      <w:r>
        <w:rPr>
          <w:rFonts w:hint="eastAsia" w:ascii="仿宋" w:hAnsi="仿宋" w:eastAsia="仿宋" w:cs="仿宋"/>
          <w:b/>
          <w:bCs/>
          <w:sz w:val="28"/>
          <w:szCs w:val="28"/>
          <w:lang w:val="en-US" w:eastAsia="zh-CN"/>
        </w:rPr>
        <w:t>做实迎检、迎赛工作，做深“三教”改革工作。</w:t>
      </w:r>
    </w:p>
    <w:p>
      <w:pPr>
        <w:ind w:firstLine="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9</w:t>
      </w:r>
      <w:r>
        <w:rPr>
          <w:rFonts w:hint="default" w:ascii="仿宋" w:hAnsi="仿宋" w:eastAsia="仿宋" w:cs="仿宋"/>
          <w:sz w:val="28"/>
          <w:szCs w:val="28"/>
          <w:lang w:val="en-US" w:eastAsia="zh-CN"/>
        </w:rPr>
        <w:t>月</w:t>
      </w:r>
      <w:r>
        <w:rPr>
          <w:rFonts w:hint="eastAsia" w:ascii="仿宋" w:hAnsi="仿宋" w:eastAsia="仿宋" w:cs="仿宋"/>
          <w:sz w:val="28"/>
          <w:szCs w:val="28"/>
          <w:lang w:val="en-US" w:eastAsia="zh-CN"/>
        </w:rPr>
        <w:t>9</w:t>
      </w:r>
      <w:r>
        <w:rPr>
          <w:rFonts w:hint="default" w:ascii="仿宋" w:hAnsi="仿宋" w:eastAsia="仿宋" w:cs="仿宋"/>
          <w:sz w:val="28"/>
          <w:szCs w:val="28"/>
          <w:lang w:val="en-US" w:eastAsia="zh-CN"/>
        </w:rPr>
        <w:t>日</w:t>
      </w:r>
      <w:r>
        <w:rPr>
          <w:rFonts w:hint="eastAsia" w:ascii="仿宋" w:hAnsi="仿宋" w:eastAsia="仿宋" w:cs="仿宋"/>
          <w:sz w:val="28"/>
          <w:szCs w:val="28"/>
          <w:lang w:val="en-US" w:eastAsia="zh-CN"/>
        </w:rPr>
        <w:t>，教务处与相关职能部门、各院部相关人员分组对全校教学场地、实习实训设施准备情况进行了检查</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9</w:t>
      </w:r>
      <w:r>
        <w:rPr>
          <w:rFonts w:hint="default" w:ascii="仿宋" w:hAnsi="仿宋" w:eastAsia="仿宋" w:cs="仿宋"/>
          <w:sz w:val="28"/>
          <w:szCs w:val="28"/>
          <w:lang w:val="en-US" w:eastAsia="zh-CN"/>
        </w:rPr>
        <w:t>月</w:t>
      </w:r>
      <w:r>
        <w:rPr>
          <w:rFonts w:hint="eastAsia" w:ascii="仿宋" w:hAnsi="仿宋" w:eastAsia="仿宋" w:cs="仿宋"/>
          <w:sz w:val="28"/>
          <w:szCs w:val="28"/>
          <w:lang w:val="en-US" w:eastAsia="zh-CN"/>
        </w:rPr>
        <w:t>10</w:t>
      </w:r>
      <w:r>
        <w:rPr>
          <w:rFonts w:hint="default" w:ascii="仿宋" w:hAnsi="仿宋" w:eastAsia="仿宋" w:cs="仿宋"/>
          <w:sz w:val="28"/>
          <w:szCs w:val="28"/>
          <w:lang w:val="en-US" w:eastAsia="zh-CN"/>
        </w:rPr>
        <w:t>日，</w:t>
      </w:r>
      <w:r>
        <w:rPr>
          <w:rFonts w:hint="eastAsia" w:ascii="仿宋" w:hAnsi="仿宋" w:eastAsia="仿宋" w:cs="仿宋"/>
          <w:sz w:val="28"/>
          <w:szCs w:val="28"/>
          <w:lang w:val="en-US" w:eastAsia="zh-CN"/>
        </w:rPr>
        <w:t>副校长游新娥、教务处、质管办、各院部联合检查组对开课第一天的教学情况进行了全面检查。现将检查情况通报如下。</w:t>
      </w:r>
      <w:r>
        <w:rPr>
          <w:rFonts w:hint="default" w:ascii="仿宋" w:hAnsi="仿宋" w:eastAsia="仿宋" w:cs="仿宋"/>
          <w:sz w:val="28"/>
          <w:szCs w:val="28"/>
          <w:lang w:val="en-US" w:eastAsia="zh-CN"/>
        </w:rPr>
        <w:t> </w:t>
      </w:r>
    </w:p>
    <w:p>
      <w:p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一、开学开课准备情况</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1.教学文件准备情况。教务处与各院部提前准备、周密配合，确保了教学任务安排、课表编排落实到位。教学文件准备符合各专业教学需要，能对教学组织管理起到指导作用，能满足学期教学需求。</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教学场所准备情况。教务处、各二级学院组织教师清理教学场所环境卫生，排查安全隐患，维修保养教学设备设施，准备教学材料。大部分教学场地的多媒体设备、实习实训设施完好，教学软件安装到位，教学仪器等摆放整齐。个别教室存在卫生不到位，课桌座板缺失以及开关面板不齐等安全隐患，已协调后勤处整改到位，确保顺利开课。</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3.教学资料发放情况。课表、教研本、教学笔记、作业本等教学资料及时发放，教材基本发放到位，确保开学工作规范有序。</w:t>
      </w:r>
    </w:p>
    <w:p>
      <w:p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二、开课第一天教学检查情况</w:t>
      </w:r>
    </w:p>
    <w:p>
      <w:pPr>
        <w:ind w:firstLine="560"/>
        <w:rPr>
          <w:rFonts w:hint="eastAsia" w:ascii="仿宋" w:hAnsi="仿宋" w:eastAsia="仿宋" w:cs="仿宋"/>
          <w:sz w:val="28"/>
          <w:szCs w:val="28"/>
          <w:highlight w:val="none"/>
          <w:lang w:val="en-US" w:eastAsia="zh-CN"/>
        </w:rPr>
      </w:pPr>
      <w:r>
        <w:rPr>
          <w:rFonts w:hint="eastAsia" w:ascii="仿宋" w:hAnsi="仿宋" w:eastAsia="仿宋" w:cs="仿宋"/>
          <w:sz w:val="28"/>
          <w:szCs w:val="28"/>
          <w:lang w:val="en-US" w:eastAsia="zh-CN"/>
        </w:rPr>
        <w:t>1.教师课堂教学情况。绝大多数任课教师敬业爱岗，严于律己，课前准备充分，按照学院要求撰写了教案、制作了PPT课件，并有一定的备课储备量，教材、授课计划、教学笔记等教学资料携带齐全。绝大部分教师提前10分钟进教室，教学状态饱满，特别是梁斌、王冬青、刘新逢、谢莉、邱玉贵、付学、庄梦思、胡勇为等老师上课准备充分，精神</w:t>
      </w:r>
      <w:r>
        <w:rPr>
          <w:rFonts w:hint="eastAsia" w:ascii="仿宋" w:hAnsi="仿宋" w:eastAsia="仿宋" w:cs="仿宋"/>
          <w:sz w:val="28"/>
          <w:szCs w:val="28"/>
          <w:highlight w:val="none"/>
          <w:lang w:val="en-US" w:eastAsia="zh-CN"/>
        </w:rPr>
        <w:t>状态好，课堂纪律好，教学组织有序。</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2.学生学习情况。学生到课率高，全校平均到课率为92.65%。特别是20级应用英语2班、20级应用英语4班、20级应用英语5班、20级农管2班、20级大数据2班、20级软件1班、20级电子2班、20级计网（华为）1班、20级数媒（项目）1班、20级幼儿管理2班、20级园林（卓鼎）1班、20级工业机器人1班、19级动医1班、19级汽车检修2班、19级园艺1班、19级应用英语3班、19级会计4班、19级数媒1班、19级动漫2班、19级软件1班、19级应用电子1班等21个班级到课率为100%。绝大多数学生能够遵守纪律，提前10分钟到达教室，课堂秩序</w:t>
      </w:r>
      <w:r>
        <w:rPr>
          <w:rFonts w:hint="eastAsia" w:ascii="仿宋" w:hAnsi="仿宋" w:eastAsia="仿宋" w:cs="仿宋"/>
          <w:sz w:val="28"/>
          <w:szCs w:val="28"/>
          <w:lang w:val="en-US" w:eastAsia="zh-CN"/>
        </w:rPr>
        <w:t>良好。大部分班级均将手机放在班级手机袋中，学生抬头率较高。</w:t>
      </w:r>
    </w:p>
    <w:p>
      <w:p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三、存在的问题</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教师课堂教学组织能力有待进一步加强。20级农管3班3个学生玩手机游戏，20级商英（邮轮）1班3人趴在桌上，20级建工3班2人趴在桌上睡觉，19级动物1班个别学生讲小话、玩手机，19级应用电子1班2人玩手机，19级计网（华为）3班1人睡觉，2人玩手机，19级旅游管理1班2人玩手机，17级汽检高1班1人看小说。</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教学管理有待进一步加强。主教楼202桌椅座板缺失，509教师休息室没有空调遥控器，502窗帘破损，518地面地脚螺栓裸露等。主教楼六楼卫生打扫不彻底，汽车学院实训中心走廊灯光较暗，机电工程学院实训中心个别实训室多媒体设备故障等。</w:t>
      </w:r>
    </w:p>
    <w:p>
      <w:p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四、整改要求</w:t>
      </w:r>
    </w:p>
    <w:p>
      <w:pPr>
        <w:ind w:firstLine="560"/>
        <w:rPr>
          <w:rFonts w:hint="eastAsia" w:ascii="仿宋" w:hAnsi="仿宋" w:eastAsia="仿宋" w:cs="仿宋"/>
          <w:b/>
          <w:bCs/>
          <w:kern w:val="2"/>
          <w:sz w:val="36"/>
          <w:szCs w:val="36"/>
          <w:lang w:val="en-US" w:eastAsia="zh-CN" w:bidi="ar-SA"/>
        </w:rPr>
      </w:pPr>
      <w:r>
        <w:rPr>
          <w:rFonts w:hint="eastAsia" w:ascii="仿宋" w:hAnsi="仿宋" w:eastAsia="仿宋" w:cs="仿宋"/>
          <w:sz w:val="28"/>
          <w:szCs w:val="28"/>
          <w:lang w:val="en-US" w:eastAsia="zh-CN"/>
        </w:rPr>
        <w:t>各二级学院、教学部要进一步强化师德师风建设，加强教风与学风建设，建立教学管理长效机制，不断提升教学质量和管理水平。教师要进一步强化优质课堂建设，改革教学内容与教学方法，推进现代教育技术与课程教学的深度整合，切实提高课堂教学质量。针对本次检查中出现的问题，请各院部高度重视，务必认真核实，采取有力措施切实整改到位。（教务处）</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4274636"/>
    </w:sdtPr>
    <w:sdtContent>
      <w:p>
        <w:pPr>
          <w:pStyle w:val="3"/>
          <w:jc w:val="right"/>
        </w:pPr>
        <w:r>
          <w:fldChar w:fldCharType="begin"/>
        </w:r>
        <w:r>
          <w:instrText xml:space="preserve">PAGE   \* MERGEFORMAT</w:instrText>
        </w:r>
        <w:r>
          <w:fldChar w:fldCharType="separate"/>
        </w:r>
        <w:r>
          <w:rPr>
            <w:lang w:val="zh-CN"/>
          </w:rPr>
          <w:t>6</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D21B5"/>
    <w:rsid w:val="000D416E"/>
    <w:rsid w:val="001A6959"/>
    <w:rsid w:val="00503238"/>
    <w:rsid w:val="00542F4D"/>
    <w:rsid w:val="005724E3"/>
    <w:rsid w:val="00A3224C"/>
    <w:rsid w:val="00BC2F86"/>
    <w:rsid w:val="00C00203"/>
    <w:rsid w:val="024568E0"/>
    <w:rsid w:val="029E2B00"/>
    <w:rsid w:val="02E80A73"/>
    <w:rsid w:val="03B86A9A"/>
    <w:rsid w:val="07345590"/>
    <w:rsid w:val="08EC4B09"/>
    <w:rsid w:val="09067425"/>
    <w:rsid w:val="0A2E0CF9"/>
    <w:rsid w:val="0D1227ED"/>
    <w:rsid w:val="0D357545"/>
    <w:rsid w:val="0E556942"/>
    <w:rsid w:val="104233B1"/>
    <w:rsid w:val="10711FB5"/>
    <w:rsid w:val="11873386"/>
    <w:rsid w:val="11A222F2"/>
    <w:rsid w:val="12DD60A0"/>
    <w:rsid w:val="155026C2"/>
    <w:rsid w:val="15671DD1"/>
    <w:rsid w:val="19BA5DC8"/>
    <w:rsid w:val="1D2D7A26"/>
    <w:rsid w:val="1EC7691B"/>
    <w:rsid w:val="20273CB9"/>
    <w:rsid w:val="203E0686"/>
    <w:rsid w:val="20F05F8F"/>
    <w:rsid w:val="211A3663"/>
    <w:rsid w:val="219B120C"/>
    <w:rsid w:val="21DB6638"/>
    <w:rsid w:val="226D1F56"/>
    <w:rsid w:val="22A14286"/>
    <w:rsid w:val="22DE5EAB"/>
    <w:rsid w:val="251617D4"/>
    <w:rsid w:val="26B43128"/>
    <w:rsid w:val="29754249"/>
    <w:rsid w:val="2B29587E"/>
    <w:rsid w:val="2B87200E"/>
    <w:rsid w:val="2C8B5C3E"/>
    <w:rsid w:val="30125B6B"/>
    <w:rsid w:val="3080164E"/>
    <w:rsid w:val="308E418A"/>
    <w:rsid w:val="31804FBD"/>
    <w:rsid w:val="318541D4"/>
    <w:rsid w:val="31FA64AA"/>
    <w:rsid w:val="32112167"/>
    <w:rsid w:val="333C035A"/>
    <w:rsid w:val="33A220B8"/>
    <w:rsid w:val="33C57728"/>
    <w:rsid w:val="375918E4"/>
    <w:rsid w:val="383C19A7"/>
    <w:rsid w:val="3906283C"/>
    <w:rsid w:val="39453CBA"/>
    <w:rsid w:val="39F1139C"/>
    <w:rsid w:val="3B4E4D13"/>
    <w:rsid w:val="3B4E5F6B"/>
    <w:rsid w:val="3F3A58FB"/>
    <w:rsid w:val="40215A3B"/>
    <w:rsid w:val="44727E5A"/>
    <w:rsid w:val="44822CBA"/>
    <w:rsid w:val="456F5F8F"/>
    <w:rsid w:val="46980290"/>
    <w:rsid w:val="485A540D"/>
    <w:rsid w:val="4A780BAB"/>
    <w:rsid w:val="4D6B2B03"/>
    <w:rsid w:val="4F3621D8"/>
    <w:rsid w:val="4F573642"/>
    <w:rsid w:val="50A15587"/>
    <w:rsid w:val="51FE24AC"/>
    <w:rsid w:val="52663650"/>
    <w:rsid w:val="52BD41D6"/>
    <w:rsid w:val="535D7518"/>
    <w:rsid w:val="53AD3284"/>
    <w:rsid w:val="544E6BB2"/>
    <w:rsid w:val="55877D8B"/>
    <w:rsid w:val="55A13391"/>
    <w:rsid w:val="55A149A0"/>
    <w:rsid w:val="56722CE0"/>
    <w:rsid w:val="5707776A"/>
    <w:rsid w:val="578F6AF1"/>
    <w:rsid w:val="594D0ACC"/>
    <w:rsid w:val="59731837"/>
    <w:rsid w:val="59986C72"/>
    <w:rsid w:val="5A2F09C4"/>
    <w:rsid w:val="5AAC5F9C"/>
    <w:rsid w:val="5AED7F61"/>
    <w:rsid w:val="5CBB18C9"/>
    <w:rsid w:val="5FEA7317"/>
    <w:rsid w:val="605B02E6"/>
    <w:rsid w:val="60B03DAD"/>
    <w:rsid w:val="60F75181"/>
    <w:rsid w:val="611F1752"/>
    <w:rsid w:val="64647ED6"/>
    <w:rsid w:val="650E64CE"/>
    <w:rsid w:val="65317977"/>
    <w:rsid w:val="65BA10C2"/>
    <w:rsid w:val="67EA02C9"/>
    <w:rsid w:val="680772E6"/>
    <w:rsid w:val="68DC0922"/>
    <w:rsid w:val="69E703DE"/>
    <w:rsid w:val="6A5F7BF5"/>
    <w:rsid w:val="6C7C0FBF"/>
    <w:rsid w:val="6EAD21B5"/>
    <w:rsid w:val="6F9D2FB5"/>
    <w:rsid w:val="70DA43A1"/>
    <w:rsid w:val="7213147B"/>
    <w:rsid w:val="72762240"/>
    <w:rsid w:val="79BA5559"/>
    <w:rsid w:val="7C8C3F17"/>
    <w:rsid w:val="7C9D34E5"/>
    <w:rsid w:val="7CC0689F"/>
    <w:rsid w:val="7CF23B95"/>
    <w:rsid w:val="7DAC3F89"/>
    <w:rsid w:val="7F044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iPriority w:val="0"/>
    <w:rPr>
      <w:color w:val="252525"/>
      <w:u w:val="none"/>
    </w:rPr>
  </w:style>
  <w:style w:type="character" w:styleId="10">
    <w:name w:val="Emphasis"/>
    <w:basedOn w:val="8"/>
    <w:qFormat/>
    <w:uiPriority w:val="0"/>
    <w:rPr>
      <w:color w:val="BA2636"/>
      <w:u w:val="none"/>
    </w:rPr>
  </w:style>
  <w:style w:type="character" w:styleId="11">
    <w:name w:val="Hyperlink"/>
    <w:basedOn w:val="8"/>
    <w:uiPriority w:val="0"/>
    <w:rPr>
      <w:color w:val="252525"/>
      <w:u w:val="none"/>
    </w:rPr>
  </w:style>
  <w:style w:type="character" w:styleId="12">
    <w:name w:val="HTML Code"/>
    <w:basedOn w:val="8"/>
    <w:uiPriority w:val="0"/>
    <w:rPr>
      <w:rFonts w:ascii="Courier New" w:hAnsi="Courier New"/>
      <w:color w:val="BA2636"/>
      <w:sz w:val="20"/>
      <w:u w:val="none"/>
    </w:rPr>
  </w:style>
  <w:style w:type="character" w:styleId="13">
    <w:name w:val="HTML Cite"/>
    <w:basedOn w:val="8"/>
    <w:uiPriority w:val="0"/>
  </w:style>
  <w:style w:type="character" w:customStyle="1" w:styleId="14">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5">
    <w:name w:val="font31"/>
    <w:basedOn w:val="8"/>
    <w:qFormat/>
    <w:uiPriority w:val="0"/>
    <w:rPr>
      <w:rFonts w:hint="eastAsia" w:ascii="宋体" w:hAnsi="宋体" w:eastAsia="宋体" w:cs="宋体"/>
      <w:color w:val="000000"/>
      <w:sz w:val="21"/>
      <w:szCs w:val="21"/>
      <w:u w:val="none"/>
    </w:rPr>
  </w:style>
  <w:style w:type="character" w:customStyle="1" w:styleId="16">
    <w:name w:val="font11"/>
    <w:basedOn w:val="8"/>
    <w:qFormat/>
    <w:uiPriority w:val="0"/>
    <w:rPr>
      <w:rFonts w:hint="default" w:ascii="Times New Roman" w:hAnsi="Times New Roman" w:cs="Times New Roman"/>
      <w:color w:val="000000"/>
      <w:sz w:val="21"/>
      <w:szCs w:val="21"/>
      <w:u w:val="none"/>
    </w:rPr>
  </w:style>
  <w:style w:type="character" w:customStyle="1" w:styleId="17">
    <w:name w:val="font4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3846</Words>
  <Characters>4009</Characters>
  <Lines>48</Lines>
  <Paragraphs>13</Paragraphs>
  <TotalTime>193</TotalTime>
  <ScaleCrop>false</ScaleCrop>
  <LinksUpToDate>false</LinksUpToDate>
  <CharactersWithSpaces>4148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2020-11-05T03:42:00Z</dcterms:created>
  <dc:creator>Administrator</dc:creator>
  <cp:lastModifiedBy>悟道悟静</cp:lastModifiedBy>
  <cp:lastPrinted>2021-09-14T01:19:00Z</cp:lastPrinted>
  <dcterms:modified xsi:type="dcterms:W3CDTF">2021-09-28T00:14:36Z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3B226F7920D247E3B64391803651B597</vt:lpwstr>
  </property>
</Properties>
</file>