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F4154">
      <w:pPr>
        <w:widowControl/>
        <w:autoSpaceDE w:val="0"/>
        <w:spacing w:line="360" w:lineRule="auto"/>
        <w:jc w:val="center"/>
        <w:rPr>
          <w:rFonts w:hint="eastAsia"/>
          <w:b w:val="0"/>
          <w:bCs/>
          <w:color w:val="auto"/>
          <w:sz w:val="36"/>
          <w:szCs w:val="36"/>
          <w:lang w:val="en-US" w:eastAsia="zh-CN"/>
        </w:rPr>
      </w:pPr>
      <w:r>
        <w:rPr>
          <w:rFonts w:hint="eastAsia"/>
          <w:b/>
          <w:color w:val="auto"/>
          <w:sz w:val="36"/>
          <w:szCs w:val="36"/>
          <w:lang w:val="en-US" w:eastAsia="zh-CN"/>
        </w:rPr>
        <w:t>机器人淬火工作站改造设备清单及报价单</w:t>
      </w:r>
    </w:p>
    <w:tbl>
      <w:tblPr>
        <w:tblStyle w:val="6"/>
        <w:tblW w:w="98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
        <w:gridCol w:w="709"/>
        <w:gridCol w:w="3573"/>
        <w:gridCol w:w="725"/>
        <w:gridCol w:w="509"/>
        <w:gridCol w:w="760"/>
        <w:gridCol w:w="753"/>
        <w:gridCol w:w="620"/>
        <w:gridCol w:w="620"/>
        <w:gridCol w:w="620"/>
        <w:gridCol w:w="620"/>
      </w:tblGrid>
      <w:tr w14:paraId="440E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blHeader/>
          <w:jc w:val="center"/>
        </w:trPr>
        <w:tc>
          <w:tcPr>
            <w:tcW w:w="349" w:type="dxa"/>
            <w:noWrap w:val="0"/>
            <w:vAlign w:val="center"/>
          </w:tcPr>
          <w:p w14:paraId="575AAA02">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b/>
                <w:bCs/>
                <w:color w:val="auto"/>
                <w:sz w:val="21"/>
                <w:szCs w:val="21"/>
              </w:rPr>
            </w:pPr>
            <w:r>
              <w:rPr>
                <w:rFonts w:hint="eastAsia"/>
                <w:b/>
                <w:bCs/>
                <w:color w:val="auto"/>
                <w:sz w:val="21"/>
                <w:szCs w:val="21"/>
              </w:rPr>
              <w:t>序号</w:t>
            </w:r>
          </w:p>
        </w:tc>
        <w:tc>
          <w:tcPr>
            <w:tcW w:w="709" w:type="dxa"/>
            <w:noWrap w:val="0"/>
            <w:vAlign w:val="center"/>
          </w:tcPr>
          <w:p w14:paraId="571489AA">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b/>
                <w:bCs/>
                <w:color w:val="auto"/>
                <w:sz w:val="21"/>
                <w:szCs w:val="21"/>
              </w:rPr>
            </w:pPr>
            <w:r>
              <w:rPr>
                <w:rFonts w:hint="eastAsia"/>
                <w:b/>
                <w:bCs/>
                <w:color w:val="auto"/>
                <w:sz w:val="21"/>
                <w:szCs w:val="21"/>
              </w:rPr>
              <w:t>仪器、设备</w:t>
            </w:r>
          </w:p>
          <w:p w14:paraId="0E2DBFC7">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b/>
                <w:bCs/>
                <w:color w:val="auto"/>
                <w:sz w:val="21"/>
                <w:szCs w:val="21"/>
              </w:rPr>
            </w:pPr>
            <w:r>
              <w:rPr>
                <w:rFonts w:hint="eastAsia"/>
                <w:b/>
                <w:bCs/>
                <w:color w:val="auto"/>
                <w:sz w:val="21"/>
                <w:szCs w:val="21"/>
              </w:rPr>
              <w:t>名称</w:t>
            </w:r>
          </w:p>
        </w:tc>
        <w:tc>
          <w:tcPr>
            <w:tcW w:w="3573" w:type="dxa"/>
            <w:noWrap w:val="0"/>
            <w:vAlign w:val="center"/>
          </w:tcPr>
          <w:p w14:paraId="4988EE6F">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b/>
                <w:bCs/>
                <w:color w:val="auto"/>
                <w:sz w:val="21"/>
                <w:szCs w:val="21"/>
              </w:rPr>
            </w:pPr>
            <w:r>
              <w:rPr>
                <w:rFonts w:hint="eastAsia"/>
                <w:b/>
                <w:bCs/>
                <w:color w:val="auto"/>
                <w:sz w:val="21"/>
                <w:szCs w:val="21"/>
              </w:rPr>
              <w:t>规格、技术参数</w:t>
            </w:r>
          </w:p>
        </w:tc>
        <w:tc>
          <w:tcPr>
            <w:tcW w:w="725" w:type="dxa"/>
            <w:noWrap w:val="0"/>
            <w:vAlign w:val="center"/>
          </w:tcPr>
          <w:p w14:paraId="26EF1C68">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b/>
                <w:bCs/>
                <w:color w:val="auto"/>
                <w:sz w:val="21"/>
                <w:szCs w:val="21"/>
              </w:rPr>
            </w:pPr>
            <w:r>
              <w:rPr>
                <w:rFonts w:hint="eastAsia"/>
                <w:b/>
                <w:bCs/>
                <w:color w:val="auto"/>
                <w:sz w:val="21"/>
                <w:szCs w:val="21"/>
              </w:rPr>
              <w:t>数量</w:t>
            </w:r>
          </w:p>
        </w:tc>
        <w:tc>
          <w:tcPr>
            <w:tcW w:w="509" w:type="dxa"/>
            <w:noWrap w:val="0"/>
            <w:vAlign w:val="center"/>
          </w:tcPr>
          <w:p w14:paraId="778D4D71">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b/>
                <w:bCs/>
                <w:color w:val="auto"/>
                <w:sz w:val="21"/>
                <w:szCs w:val="21"/>
              </w:rPr>
            </w:pPr>
            <w:r>
              <w:rPr>
                <w:rFonts w:hint="eastAsia"/>
                <w:b/>
                <w:bCs/>
                <w:color w:val="auto"/>
                <w:sz w:val="21"/>
                <w:szCs w:val="21"/>
              </w:rPr>
              <w:t>单位</w:t>
            </w:r>
          </w:p>
        </w:tc>
        <w:tc>
          <w:tcPr>
            <w:tcW w:w="760" w:type="dxa"/>
            <w:noWrap w:val="0"/>
            <w:vAlign w:val="center"/>
          </w:tcPr>
          <w:p w14:paraId="52F480F2">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b/>
                <w:bCs/>
                <w:color w:val="auto"/>
                <w:sz w:val="21"/>
                <w:szCs w:val="21"/>
              </w:rPr>
            </w:pPr>
            <w:r>
              <w:rPr>
                <w:rFonts w:hint="eastAsia"/>
                <w:b/>
                <w:bCs/>
                <w:color w:val="auto"/>
                <w:sz w:val="21"/>
                <w:szCs w:val="21"/>
                <w:lang w:eastAsia="zh-CN"/>
              </w:rPr>
              <w:t>控制</w:t>
            </w:r>
            <w:r>
              <w:rPr>
                <w:rFonts w:hint="eastAsia"/>
                <w:b/>
                <w:bCs/>
                <w:color w:val="auto"/>
                <w:sz w:val="21"/>
                <w:szCs w:val="21"/>
              </w:rPr>
              <w:t>单价</w:t>
            </w:r>
          </w:p>
        </w:tc>
        <w:tc>
          <w:tcPr>
            <w:tcW w:w="753" w:type="dxa"/>
            <w:noWrap w:val="0"/>
            <w:vAlign w:val="center"/>
          </w:tcPr>
          <w:p w14:paraId="3C18D24E">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b/>
                <w:bCs/>
                <w:color w:val="auto"/>
                <w:sz w:val="21"/>
                <w:szCs w:val="21"/>
              </w:rPr>
            </w:pPr>
            <w:r>
              <w:rPr>
                <w:rFonts w:hint="eastAsia"/>
                <w:b/>
                <w:bCs/>
                <w:color w:val="auto"/>
                <w:sz w:val="21"/>
                <w:szCs w:val="21"/>
                <w:lang w:eastAsia="zh-CN"/>
              </w:rPr>
              <w:t>控制总价</w:t>
            </w:r>
          </w:p>
        </w:tc>
        <w:tc>
          <w:tcPr>
            <w:tcW w:w="620" w:type="dxa"/>
            <w:noWrap w:val="0"/>
            <w:vAlign w:val="center"/>
          </w:tcPr>
          <w:p w14:paraId="63762D65">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rFonts w:hint="eastAsia"/>
                <w:b/>
                <w:bCs/>
                <w:color w:val="auto"/>
                <w:sz w:val="21"/>
                <w:szCs w:val="21"/>
                <w:lang w:eastAsia="zh-CN"/>
              </w:rPr>
            </w:pPr>
            <w:r>
              <w:rPr>
                <w:rFonts w:hint="eastAsia"/>
                <w:b/>
                <w:bCs/>
                <w:color w:val="auto"/>
                <w:sz w:val="21"/>
                <w:szCs w:val="21"/>
                <w:lang w:eastAsia="zh-CN"/>
              </w:rPr>
              <w:t>报价单价</w:t>
            </w:r>
          </w:p>
        </w:tc>
        <w:tc>
          <w:tcPr>
            <w:tcW w:w="620" w:type="dxa"/>
            <w:noWrap w:val="0"/>
            <w:vAlign w:val="center"/>
          </w:tcPr>
          <w:p w14:paraId="247BD637">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rFonts w:hint="eastAsia"/>
                <w:b/>
                <w:bCs/>
                <w:color w:val="auto"/>
                <w:sz w:val="21"/>
                <w:szCs w:val="21"/>
                <w:lang w:eastAsia="zh-CN"/>
              </w:rPr>
            </w:pPr>
            <w:r>
              <w:rPr>
                <w:rFonts w:hint="eastAsia"/>
                <w:b/>
                <w:bCs/>
                <w:color w:val="auto"/>
                <w:sz w:val="21"/>
                <w:szCs w:val="21"/>
                <w:lang w:eastAsia="zh-CN"/>
              </w:rPr>
              <w:t>报价总价</w:t>
            </w:r>
          </w:p>
        </w:tc>
        <w:tc>
          <w:tcPr>
            <w:tcW w:w="620" w:type="dxa"/>
            <w:noWrap w:val="0"/>
            <w:vAlign w:val="center"/>
          </w:tcPr>
          <w:p w14:paraId="492D6F20">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rFonts w:hint="eastAsia"/>
                <w:b/>
                <w:bCs/>
                <w:color w:val="auto"/>
                <w:sz w:val="21"/>
                <w:szCs w:val="21"/>
                <w:lang w:eastAsia="zh-CN"/>
              </w:rPr>
            </w:pPr>
            <w:r>
              <w:rPr>
                <w:rFonts w:hint="eastAsia"/>
                <w:b/>
                <w:bCs/>
                <w:color w:val="auto"/>
                <w:sz w:val="21"/>
                <w:szCs w:val="21"/>
                <w:lang w:eastAsia="zh-CN"/>
              </w:rPr>
              <w:t>品牌、产地</w:t>
            </w:r>
          </w:p>
        </w:tc>
        <w:tc>
          <w:tcPr>
            <w:tcW w:w="620" w:type="dxa"/>
            <w:noWrap w:val="0"/>
            <w:vAlign w:val="center"/>
          </w:tcPr>
          <w:p w14:paraId="683E8179">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rFonts w:hint="eastAsia"/>
                <w:b/>
                <w:bCs/>
                <w:color w:val="auto"/>
                <w:sz w:val="21"/>
                <w:szCs w:val="21"/>
                <w:lang w:val="en-US" w:eastAsia="zh-CN"/>
              </w:rPr>
            </w:pPr>
            <w:r>
              <w:rPr>
                <w:rFonts w:hint="eastAsia"/>
                <w:b/>
                <w:bCs/>
                <w:color w:val="auto"/>
                <w:sz w:val="21"/>
                <w:szCs w:val="21"/>
                <w:lang w:val="en-US" w:eastAsia="zh-CN"/>
              </w:rPr>
              <w:t>规格、型号</w:t>
            </w:r>
          </w:p>
        </w:tc>
      </w:tr>
      <w:tr w14:paraId="761C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9" w:type="dxa"/>
            <w:noWrap w:val="0"/>
            <w:vAlign w:val="center"/>
          </w:tcPr>
          <w:p w14:paraId="7FB268C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宋体" w:hAnsi="宋体" w:cs="宋体"/>
                <w:color w:val="auto"/>
                <w:kern w:val="0"/>
                <w:sz w:val="21"/>
                <w:szCs w:val="21"/>
              </w:rPr>
            </w:pPr>
            <w:r>
              <w:rPr>
                <w:rFonts w:hint="default" w:ascii="宋体" w:hAnsi="宋体" w:eastAsia="宋体" w:cs="宋体"/>
                <w:color w:val="auto"/>
                <w:kern w:val="0"/>
                <w:sz w:val="21"/>
                <w:szCs w:val="21"/>
                <w:lang w:val="en-US" w:eastAsia="zh-CN"/>
              </w:rPr>
              <w:t>1</w:t>
            </w:r>
          </w:p>
        </w:tc>
        <w:tc>
          <w:tcPr>
            <w:tcW w:w="709" w:type="dxa"/>
            <w:noWrap w:val="0"/>
            <w:vAlign w:val="center"/>
          </w:tcPr>
          <w:p w14:paraId="007D7BE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rPr>
            </w:pPr>
            <w:r>
              <w:rPr>
                <w:rFonts w:hint="default" w:ascii="宋体" w:hAnsi="宋体" w:eastAsia="宋体" w:cs="宋体"/>
                <w:color w:val="auto"/>
                <w:kern w:val="0"/>
                <w:sz w:val="21"/>
                <w:szCs w:val="21"/>
                <w:lang w:val="en-US" w:eastAsia="zh-CN"/>
              </w:rPr>
              <w:t>工业机器人系统</w:t>
            </w:r>
          </w:p>
        </w:tc>
        <w:tc>
          <w:tcPr>
            <w:tcW w:w="3573" w:type="dxa"/>
            <w:noWrap w:val="0"/>
            <w:vAlign w:val="center"/>
          </w:tcPr>
          <w:p w14:paraId="1DB77708">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1.工业机器人整体调试检修现有故障；</w:t>
            </w:r>
          </w:p>
          <w:p w14:paraId="03F80EFD">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2.调试系统参数，重新调试通讯，使工业机器人功能正常；</w:t>
            </w:r>
          </w:p>
          <w:p w14:paraId="2AEE1756">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3.系统布局优化与机械移位改造；</w:t>
            </w:r>
          </w:p>
          <w:p w14:paraId="643FF993">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4.机器人底座重构与移位安装；</w:t>
            </w:r>
          </w:p>
          <w:p w14:paraId="5E95F62C">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5.通过I/O硬接线与现场总线相结合的通信方式，实现机器人与各外围设备信号交互与安全互锁；</w:t>
            </w:r>
          </w:p>
          <w:p w14:paraId="605C5F48">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6.机器人运动轨迹覆盖淬火机、淬火槽、全自动攻丝机及工件存放台等全部工位；</w:t>
            </w:r>
          </w:p>
          <w:p w14:paraId="1E6E9D65">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7.承担工件在各工序之间的精准搬运与定位任务，确保多工序协同作业的时序准确性与运行安全性。</w:t>
            </w:r>
          </w:p>
          <w:p w14:paraId="5A49B576">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8.整体调试检修现有故障；</w:t>
            </w:r>
          </w:p>
          <w:p w14:paraId="48E6165B">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9.调试系统参数，重新调试通讯，使工业机器人功能正常</w:t>
            </w:r>
          </w:p>
          <w:p w14:paraId="39284CDC">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10.系统布局优化与机械移位改造；</w:t>
            </w:r>
          </w:p>
          <w:p w14:paraId="160835F3">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11.机器人底座重构与移位安装；</w:t>
            </w:r>
          </w:p>
          <w:p w14:paraId="619BF2A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12.机器人电气控制虚拟仿真软件≥40套:1)该软件具有任务（新手上路、结构认知、试验教学等）、考试切换、观察模式等功能；具有案例操作面板（含减速、上一步骤、操作示范、同步练习、下一步骤、加速）；2)软件支持 PLC、继电器、指示灯、按钮、电源、漏电保护开关、开关电源、丝杆平台与滑块、电磁阀、气缸、色环电阻、步进电机等电气控制设备的结构认知、导线连接等 3D 虚拟仿真，软件支持VR操作。</w:t>
            </w:r>
          </w:p>
          <w:p w14:paraId="0305084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r>
              <w:rPr>
                <w:rFonts w:hint="eastAsia" w:ascii="宋体" w:hAnsi="宋体" w:cs="宋体"/>
                <w:color w:val="auto"/>
                <w:kern w:val="0"/>
                <w:sz w:val="21"/>
                <w:szCs w:val="21"/>
                <w:lang w:val="en-US" w:eastAsia="zh-CN"/>
              </w:rPr>
              <w:t>3</w:t>
            </w:r>
            <w:r>
              <w:rPr>
                <w:rFonts w:hint="eastAsia" w:ascii="宋体" w:hAnsi="宋体" w:eastAsia="宋体" w:cs="宋体"/>
                <w:color w:val="auto"/>
                <w:kern w:val="0"/>
                <w:sz w:val="21"/>
                <w:szCs w:val="21"/>
                <w:lang w:val="en-US" w:eastAsia="zh-CN"/>
              </w:rPr>
              <w:t>.机器人装配与维护虚拟仿真软件≥40套:1)软件支持小型六自由度机器人、大型六轴机器人、水平关节机器人、并联蜘蛛手机器人、五轴机器人等不少于 5 种类型机器人本体拆装仿真；2)具有多种装配模式，如自动装配、按组件模式装配、按类型方式装配等；3)具有机器人仿真功能，包括手动仿真、自动仿真模式。</w:t>
            </w:r>
          </w:p>
          <w:p w14:paraId="5B68D1D6">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r>
              <w:rPr>
                <w:rFonts w:hint="eastAsia" w:ascii="宋体" w:hAnsi="宋体" w:cs="宋体"/>
                <w:color w:val="auto"/>
                <w:kern w:val="0"/>
                <w:sz w:val="21"/>
                <w:szCs w:val="21"/>
                <w:lang w:val="en-US" w:eastAsia="zh-CN"/>
              </w:rPr>
              <w:t>4</w:t>
            </w:r>
            <w:r>
              <w:rPr>
                <w:rFonts w:hint="eastAsia" w:ascii="宋体" w:hAnsi="宋体" w:eastAsia="宋体" w:cs="宋体"/>
                <w:color w:val="auto"/>
                <w:kern w:val="0"/>
                <w:sz w:val="21"/>
                <w:szCs w:val="21"/>
                <w:lang w:val="en-US" w:eastAsia="zh-CN"/>
              </w:rPr>
              <w:t>.培训：对操作与维护人员进行系统操作、安全规程及基础维护的现场培训。</w:t>
            </w:r>
          </w:p>
          <w:p w14:paraId="6D88543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lang w:val="en-US" w:eastAsia="zh-CN"/>
              </w:rPr>
              <w:t>.配套互联网教学平台及资源库系统200VIP账户</w:t>
            </w:r>
          </w:p>
          <w:p w14:paraId="70A03D7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16</w:t>
            </w:r>
            <w:r>
              <w:rPr>
                <w:rFonts w:hint="eastAsia" w:ascii="宋体" w:hAnsi="宋体" w:eastAsia="宋体" w:cs="宋体"/>
                <w:color w:val="auto"/>
                <w:kern w:val="0"/>
                <w:sz w:val="21"/>
                <w:szCs w:val="21"/>
                <w:lang w:val="en-US" w:eastAsia="zh-CN"/>
              </w:rPr>
              <w:t>.配套数字工厂仿真软件（具有数字孪生功能）</w:t>
            </w:r>
          </w:p>
        </w:tc>
        <w:tc>
          <w:tcPr>
            <w:tcW w:w="725" w:type="dxa"/>
            <w:noWrap w:val="0"/>
            <w:vAlign w:val="center"/>
          </w:tcPr>
          <w:p w14:paraId="5FCAE539">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09" w:type="dxa"/>
            <w:noWrap w:val="0"/>
            <w:vAlign w:val="center"/>
          </w:tcPr>
          <w:p w14:paraId="093746A2">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60" w:type="dxa"/>
            <w:noWrap w:val="0"/>
            <w:vAlign w:val="center"/>
          </w:tcPr>
          <w:p w14:paraId="777C51F6">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9</w:t>
            </w:r>
            <w:r>
              <w:rPr>
                <w:rFonts w:hint="eastAsia" w:ascii="宋体" w:hAnsi="宋体" w:eastAsia="宋体" w:cs="宋体"/>
                <w:color w:val="auto"/>
                <w:kern w:val="0"/>
                <w:sz w:val="21"/>
                <w:szCs w:val="21"/>
                <w:lang w:val="en-US" w:eastAsia="zh-CN"/>
              </w:rPr>
              <w:t>0</w:t>
            </w:r>
            <w:r>
              <w:rPr>
                <w:rFonts w:hint="default" w:ascii="宋体" w:hAnsi="宋体" w:eastAsia="宋体" w:cs="宋体"/>
                <w:color w:val="auto"/>
                <w:kern w:val="0"/>
                <w:sz w:val="21"/>
                <w:szCs w:val="21"/>
                <w:lang w:val="en-US" w:eastAsia="zh-CN"/>
              </w:rPr>
              <w:t>00</w:t>
            </w:r>
          </w:p>
        </w:tc>
        <w:tc>
          <w:tcPr>
            <w:tcW w:w="753" w:type="dxa"/>
            <w:noWrap w:val="0"/>
            <w:vAlign w:val="center"/>
          </w:tcPr>
          <w:p w14:paraId="366CDCE0">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rFonts w:hint="eastAsia" w:ascii="Times New Roman" w:hAnsi="Times New Roman" w:eastAsia="宋体" w:cs="Times New Roman"/>
                <w:color w:val="auto"/>
                <w:sz w:val="21"/>
                <w:szCs w:val="21"/>
                <w:lang w:val="en-US" w:eastAsia="zh-CN"/>
              </w:rPr>
            </w:pPr>
            <w:r>
              <w:rPr>
                <w:rFonts w:hint="default" w:ascii="宋体" w:hAnsi="宋体" w:eastAsia="宋体" w:cs="宋体"/>
                <w:color w:val="auto"/>
                <w:kern w:val="0"/>
                <w:sz w:val="21"/>
                <w:szCs w:val="21"/>
                <w:lang w:val="en-US" w:eastAsia="zh-CN"/>
              </w:rPr>
              <w:t>9</w:t>
            </w:r>
            <w:r>
              <w:rPr>
                <w:rFonts w:hint="eastAsia" w:ascii="宋体" w:hAnsi="宋体" w:eastAsia="宋体" w:cs="宋体"/>
                <w:color w:val="auto"/>
                <w:kern w:val="0"/>
                <w:sz w:val="21"/>
                <w:szCs w:val="21"/>
                <w:lang w:val="en-US" w:eastAsia="zh-CN"/>
              </w:rPr>
              <w:t>0</w:t>
            </w:r>
            <w:r>
              <w:rPr>
                <w:rFonts w:hint="default" w:ascii="宋体" w:hAnsi="宋体" w:eastAsia="宋体" w:cs="宋体"/>
                <w:color w:val="auto"/>
                <w:kern w:val="0"/>
                <w:sz w:val="21"/>
                <w:szCs w:val="21"/>
                <w:lang w:val="en-US" w:eastAsia="zh-CN"/>
              </w:rPr>
              <w:t>00</w:t>
            </w:r>
          </w:p>
        </w:tc>
        <w:tc>
          <w:tcPr>
            <w:tcW w:w="620" w:type="dxa"/>
            <w:noWrap w:val="0"/>
            <w:vAlign w:val="center"/>
          </w:tcPr>
          <w:p w14:paraId="090A0F5B">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4B3B6E1F">
            <w:pPr>
              <w:keepNext w:val="0"/>
              <w:keepLines w:val="0"/>
              <w:pageBreakBefore w:val="0"/>
              <w:widowControl w:val="0"/>
              <w:kinsoku/>
              <w:wordWrap/>
              <w:overflowPunct/>
              <w:topLinePunct w:val="0"/>
              <w:autoSpaceDE/>
              <w:autoSpaceDN/>
              <w:bidi w:val="0"/>
              <w:adjustRightInd/>
              <w:snapToGrid/>
              <w:spacing w:line="26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03B78531">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p>
        </w:tc>
        <w:tc>
          <w:tcPr>
            <w:tcW w:w="620" w:type="dxa"/>
            <w:noWrap w:val="0"/>
            <w:vAlign w:val="center"/>
          </w:tcPr>
          <w:p w14:paraId="443AE9B1">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p>
        </w:tc>
      </w:tr>
      <w:tr w14:paraId="661C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8" w:hRule="atLeast"/>
          <w:jc w:val="center"/>
        </w:trPr>
        <w:tc>
          <w:tcPr>
            <w:tcW w:w="349" w:type="dxa"/>
            <w:noWrap w:val="0"/>
            <w:vAlign w:val="center"/>
          </w:tcPr>
          <w:p w14:paraId="0A752B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2</w:t>
            </w:r>
          </w:p>
        </w:tc>
        <w:tc>
          <w:tcPr>
            <w:tcW w:w="709" w:type="dxa"/>
            <w:noWrap w:val="0"/>
            <w:vAlign w:val="center"/>
          </w:tcPr>
          <w:p w14:paraId="330109E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cs="宋体"/>
                <w:color w:val="auto"/>
                <w:kern w:val="0"/>
                <w:sz w:val="21"/>
                <w:szCs w:val="21"/>
                <w:lang w:val="en-US"/>
              </w:rPr>
            </w:pPr>
            <w:r>
              <w:rPr>
                <w:rFonts w:hint="default" w:ascii="宋体" w:hAnsi="宋体" w:eastAsia="宋体" w:cs="宋体"/>
                <w:color w:val="auto"/>
                <w:kern w:val="0"/>
                <w:sz w:val="21"/>
                <w:szCs w:val="21"/>
                <w:lang w:val="en-US" w:eastAsia="zh-CN"/>
              </w:rPr>
              <w:t>工业机器人末端夹具</w:t>
            </w:r>
          </w:p>
        </w:tc>
        <w:tc>
          <w:tcPr>
            <w:tcW w:w="3573" w:type="dxa"/>
            <w:noWrap w:val="0"/>
            <w:vAlign w:val="center"/>
          </w:tcPr>
          <w:p w14:paraId="53ADC417">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1.定制夹爪式末端执行器，依据工件几何特征与抓取姿态要求专属设计；</w:t>
            </w:r>
          </w:p>
          <w:p w14:paraId="189C152A">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2.具备可靠的抓取力控制与工件到位检测功能；</w:t>
            </w:r>
          </w:p>
          <w:p w14:paraId="3FD39A3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3.适应高温淬火、冷却及攻丝等不同工艺阶段的稳定夹持与释放；</w:t>
            </w:r>
          </w:p>
          <w:p w14:paraId="1798C7DF">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4.满足自动化搬运作业对重复定位精度与抓取可靠性的要求</w:t>
            </w:r>
            <w:r>
              <w:rPr>
                <w:rFonts w:hint="eastAsia" w:ascii="宋体" w:hAnsi="宋体" w:eastAsia="宋体" w:cs="宋体"/>
                <w:color w:val="auto"/>
                <w:kern w:val="0"/>
                <w:sz w:val="21"/>
                <w:szCs w:val="21"/>
                <w:lang w:val="en-US" w:eastAsia="zh-CN"/>
              </w:rPr>
              <w:t>;</w:t>
            </w:r>
          </w:p>
          <w:p w14:paraId="2FD1D491">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5.气动夹具装置；</w:t>
            </w:r>
          </w:p>
          <w:p w14:paraId="2240560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6.最大负载能力：≥3kg；</w:t>
            </w:r>
          </w:p>
          <w:p w14:paraId="4232706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7.最大抓取范围：≥3cm×3cm；</w:t>
            </w:r>
          </w:p>
          <w:p w14:paraId="6E6C20E7">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8.最高抓取精度：≥1mm；</w:t>
            </w:r>
          </w:p>
          <w:p w14:paraId="522C490B">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cs="宋体"/>
                <w:color w:val="auto"/>
                <w:kern w:val="0"/>
                <w:sz w:val="21"/>
                <w:szCs w:val="21"/>
                <w:lang w:val="en-US" w:eastAsia="zh-CN"/>
              </w:rPr>
            </w:pPr>
            <w:r>
              <w:rPr>
                <w:rFonts w:hint="eastAsia" w:ascii="宋体" w:hAnsi="宋体" w:eastAsia="宋体" w:cs="宋体"/>
                <w:color w:val="auto"/>
                <w:kern w:val="0"/>
                <w:sz w:val="21"/>
                <w:szCs w:val="21"/>
                <w:lang w:val="en-US" w:eastAsia="zh-CN"/>
              </w:rPr>
              <w:t>9.带有机器人安装机架。</w:t>
            </w:r>
          </w:p>
        </w:tc>
        <w:tc>
          <w:tcPr>
            <w:tcW w:w="725" w:type="dxa"/>
            <w:noWrap w:val="0"/>
            <w:vAlign w:val="center"/>
          </w:tcPr>
          <w:p w14:paraId="33E1A01F">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09" w:type="dxa"/>
            <w:noWrap w:val="0"/>
            <w:vAlign w:val="center"/>
          </w:tcPr>
          <w:p w14:paraId="7D0FF916">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60" w:type="dxa"/>
            <w:noWrap w:val="0"/>
            <w:vAlign w:val="center"/>
          </w:tcPr>
          <w:p w14:paraId="0EAB2837">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rPr>
            </w:pPr>
            <w:r>
              <w:rPr>
                <w:rFonts w:hint="default" w:ascii="宋体" w:hAnsi="宋体" w:eastAsia="宋体" w:cs="宋体"/>
                <w:color w:val="auto"/>
                <w:kern w:val="0"/>
                <w:sz w:val="21"/>
                <w:szCs w:val="21"/>
                <w:lang w:val="en-US" w:eastAsia="zh-CN"/>
              </w:rPr>
              <w:t>6000</w:t>
            </w:r>
          </w:p>
        </w:tc>
        <w:tc>
          <w:tcPr>
            <w:tcW w:w="753" w:type="dxa"/>
            <w:noWrap w:val="0"/>
            <w:vAlign w:val="center"/>
          </w:tcPr>
          <w:p w14:paraId="01D7DC44">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rPr>
            </w:pPr>
            <w:r>
              <w:rPr>
                <w:rFonts w:hint="default" w:ascii="宋体" w:hAnsi="宋体" w:eastAsia="宋体" w:cs="宋体"/>
                <w:color w:val="auto"/>
                <w:kern w:val="0"/>
                <w:sz w:val="21"/>
                <w:szCs w:val="21"/>
                <w:lang w:val="en-US" w:eastAsia="zh-CN"/>
              </w:rPr>
              <w:t>6000</w:t>
            </w:r>
          </w:p>
        </w:tc>
        <w:tc>
          <w:tcPr>
            <w:tcW w:w="620" w:type="dxa"/>
            <w:noWrap w:val="0"/>
            <w:vAlign w:val="center"/>
          </w:tcPr>
          <w:p w14:paraId="5E36BA33">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07046A68">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1B55043B">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c>
          <w:tcPr>
            <w:tcW w:w="620" w:type="dxa"/>
            <w:noWrap w:val="0"/>
            <w:vAlign w:val="center"/>
          </w:tcPr>
          <w:p w14:paraId="33663788">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r>
      <w:tr w14:paraId="5F6E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4" w:hRule="atLeast"/>
          <w:jc w:val="center"/>
        </w:trPr>
        <w:tc>
          <w:tcPr>
            <w:tcW w:w="349" w:type="dxa"/>
            <w:noWrap w:val="0"/>
            <w:vAlign w:val="center"/>
          </w:tcPr>
          <w:p w14:paraId="58EF2E7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cs="宋体"/>
                <w:color w:val="auto"/>
                <w:kern w:val="0"/>
                <w:sz w:val="21"/>
                <w:szCs w:val="21"/>
                <w:lang w:val="en-US" w:eastAsia="zh-CN"/>
              </w:rPr>
            </w:pPr>
            <w:r>
              <w:rPr>
                <w:rFonts w:hint="default" w:ascii="宋体" w:hAnsi="宋体" w:eastAsia="宋体" w:cs="宋体"/>
                <w:color w:val="auto"/>
                <w:kern w:val="0"/>
                <w:sz w:val="21"/>
                <w:szCs w:val="21"/>
                <w:lang w:val="en-US" w:eastAsia="zh-CN"/>
              </w:rPr>
              <w:t>3</w:t>
            </w:r>
          </w:p>
        </w:tc>
        <w:tc>
          <w:tcPr>
            <w:tcW w:w="709" w:type="dxa"/>
            <w:noWrap w:val="0"/>
            <w:vAlign w:val="center"/>
          </w:tcPr>
          <w:p w14:paraId="2FB8F9A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kern w:val="0"/>
                <w:sz w:val="21"/>
                <w:szCs w:val="21"/>
              </w:rPr>
            </w:pPr>
            <w:r>
              <w:rPr>
                <w:rFonts w:hint="default" w:ascii="宋体" w:hAnsi="宋体" w:eastAsia="宋体" w:cs="宋体"/>
                <w:color w:val="auto"/>
                <w:kern w:val="0"/>
                <w:sz w:val="21"/>
                <w:szCs w:val="21"/>
                <w:lang w:val="en-US" w:eastAsia="zh-CN"/>
              </w:rPr>
              <w:t>工件存放台</w:t>
            </w:r>
          </w:p>
        </w:tc>
        <w:tc>
          <w:tcPr>
            <w:tcW w:w="3573" w:type="dxa"/>
            <w:noWrap w:val="0"/>
            <w:vAlign w:val="center"/>
          </w:tcPr>
          <w:p w14:paraId="220ED7D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1.原工件存放台利旧使用，重新搬移摆放；</w:t>
            </w:r>
          </w:p>
          <w:p w14:paraId="3552C350">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2.加装专用工件存放托盘，优化上料区与成品区空间布局；</w:t>
            </w:r>
          </w:p>
          <w:p w14:paraId="40A0892A">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3.取放路径与工业机器人精确匹配，实现毛坯工件规整摆放与淬火后成品分类码放；</w:t>
            </w:r>
          </w:p>
          <w:p w14:paraId="41493BD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cs="宋体"/>
                <w:color w:val="auto"/>
                <w:kern w:val="0"/>
                <w:sz w:val="21"/>
                <w:szCs w:val="21"/>
                <w:lang w:val="en-US" w:eastAsia="zh-CN"/>
              </w:rPr>
            </w:pPr>
            <w:r>
              <w:rPr>
                <w:rFonts w:hint="default" w:ascii="宋体" w:hAnsi="宋体" w:eastAsia="宋体" w:cs="宋体"/>
                <w:color w:val="auto"/>
                <w:kern w:val="0"/>
                <w:sz w:val="21"/>
                <w:szCs w:val="21"/>
                <w:lang w:val="en-US" w:eastAsia="zh-CN"/>
              </w:rPr>
              <w:t>4.为自动化上下料作业提供标准化的物料承载平台。</w:t>
            </w:r>
          </w:p>
        </w:tc>
        <w:tc>
          <w:tcPr>
            <w:tcW w:w="725" w:type="dxa"/>
            <w:noWrap w:val="0"/>
            <w:vAlign w:val="center"/>
          </w:tcPr>
          <w:p w14:paraId="22158237">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09" w:type="dxa"/>
            <w:noWrap w:val="0"/>
            <w:vAlign w:val="center"/>
          </w:tcPr>
          <w:p w14:paraId="71F3B823">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60" w:type="dxa"/>
            <w:noWrap w:val="0"/>
            <w:vAlign w:val="center"/>
          </w:tcPr>
          <w:p w14:paraId="02FA6F46">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5000</w:t>
            </w:r>
          </w:p>
        </w:tc>
        <w:tc>
          <w:tcPr>
            <w:tcW w:w="753" w:type="dxa"/>
            <w:noWrap w:val="0"/>
            <w:vAlign w:val="center"/>
          </w:tcPr>
          <w:p w14:paraId="580E91AA">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5000</w:t>
            </w:r>
          </w:p>
        </w:tc>
        <w:tc>
          <w:tcPr>
            <w:tcW w:w="620" w:type="dxa"/>
            <w:noWrap w:val="0"/>
            <w:vAlign w:val="center"/>
          </w:tcPr>
          <w:p w14:paraId="68F36CA8">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4DFFB736">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727808BD">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c>
          <w:tcPr>
            <w:tcW w:w="620" w:type="dxa"/>
            <w:noWrap w:val="0"/>
            <w:vAlign w:val="center"/>
          </w:tcPr>
          <w:p w14:paraId="3AF7C992">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r>
      <w:tr w14:paraId="1C98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49" w:type="dxa"/>
            <w:noWrap w:val="0"/>
            <w:vAlign w:val="center"/>
          </w:tcPr>
          <w:p w14:paraId="029BB62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cs="宋体"/>
                <w:color w:val="auto"/>
                <w:kern w:val="0"/>
                <w:sz w:val="21"/>
                <w:szCs w:val="21"/>
                <w:lang w:val="en-US" w:eastAsia="zh-CN"/>
              </w:rPr>
            </w:pPr>
            <w:r>
              <w:rPr>
                <w:rFonts w:hint="default" w:ascii="宋体" w:hAnsi="宋体" w:eastAsia="宋体" w:cs="宋体"/>
                <w:color w:val="auto"/>
                <w:kern w:val="0"/>
                <w:sz w:val="21"/>
                <w:szCs w:val="21"/>
                <w:lang w:val="en-US" w:eastAsia="zh-CN"/>
              </w:rPr>
              <w:t>4</w:t>
            </w:r>
          </w:p>
        </w:tc>
        <w:tc>
          <w:tcPr>
            <w:tcW w:w="709" w:type="dxa"/>
            <w:noWrap w:val="0"/>
            <w:vAlign w:val="center"/>
          </w:tcPr>
          <w:p w14:paraId="418F9A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kern w:val="0"/>
                <w:sz w:val="21"/>
                <w:szCs w:val="21"/>
              </w:rPr>
            </w:pPr>
            <w:r>
              <w:rPr>
                <w:rFonts w:hint="default" w:ascii="宋体" w:hAnsi="宋体" w:eastAsia="宋体" w:cs="宋体"/>
                <w:color w:val="auto"/>
                <w:kern w:val="0"/>
                <w:sz w:val="21"/>
                <w:szCs w:val="21"/>
                <w:lang w:val="en-US" w:eastAsia="zh-CN"/>
              </w:rPr>
              <w:t>淬火机</w:t>
            </w:r>
          </w:p>
        </w:tc>
        <w:tc>
          <w:tcPr>
            <w:tcW w:w="3573" w:type="dxa"/>
            <w:noWrap w:val="0"/>
            <w:vAlign w:val="center"/>
          </w:tcPr>
          <w:p w14:paraId="51A3BE05">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1.原淬火机设备利旧使用，重新搬移摆放；</w:t>
            </w:r>
          </w:p>
          <w:p w14:paraId="044D555A">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cs="宋体"/>
                <w:color w:val="auto"/>
                <w:kern w:val="0"/>
                <w:sz w:val="21"/>
                <w:szCs w:val="21"/>
                <w:lang w:val="en-US" w:eastAsia="zh-CN"/>
              </w:rPr>
            </w:pPr>
            <w:r>
              <w:rPr>
                <w:rFonts w:hint="default" w:ascii="宋体" w:hAnsi="宋体" w:eastAsia="宋体" w:cs="宋体"/>
                <w:color w:val="auto"/>
                <w:kern w:val="0"/>
                <w:sz w:val="21"/>
                <w:szCs w:val="21"/>
                <w:lang w:val="en-US" w:eastAsia="zh-CN"/>
              </w:rPr>
              <w:t>2.线路重新布局，确保工艺流程顺利运行。</w:t>
            </w:r>
          </w:p>
        </w:tc>
        <w:tc>
          <w:tcPr>
            <w:tcW w:w="725" w:type="dxa"/>
            <w:noWrap w:val="0"/>
            <w:vAlign w:val="center"/>
          </w:tcPr>
          <w:p w14:paraId="4F1D5C86">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09" w:type="dxa"/>
            <w:noWrap w:val="0"/>
            <w:vAlign w:val="center"/>
          </w:tcPr>
          <w:p w14:paraId="141CD465">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60" w:type="dxa"/>
            <w:noWrap w:val="0"/>
            <w:vAlign w:val="center"/>
          </w:tcPr>
          <w:p w14:paraId="5FB82EA0">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40</w:t>
            </w:r>
            <w:r>
              <w:rPr>
                <w:rFonts w:hint="default" w:ascii="宋体" w:hAnsi="宋体" w:eastAsia="宋体" w:cs="宋体"/>
                <w:color w:val="auto"/>
                <w:kern w:val="0"/>
                <w:sz w:val="21"/>
                <w:szCs w:val="21"/>
                <w:lang w:val="en-US" w:eastAsia="zh-CN"/>
              </w:rPr>
              <w:t>0</w:t>
            </w:r>
          </w:p>
        </w:tc>
        <w:tc>
          <w:tcPr>
            <w:tcW w:w="753" w:type="dxa"/>
            <w:noWrap w:val="0"/>
            <w:vAlign w:val="center"/>
          </w:tcPr>
          <w:p w14:paraId="4D718F82">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40</w:t>
            </w:r>
            <w:r>
              <w:rPr>
                <w:rFonts w:hint="default" w:ascii="宋体" w:hAnsi="宋体" w:eastAsia="宋体" w:cs="宋体"/>
                <w:color w:val="auto"/>
                <w:kern w:val="0"/>
                <w:sz w:val="21"/>
                <w:szCs w:val="21"/>
                <w:lang w:val="en-US" w:eastAsia="zh-CN"/>
              </w:rPr>
              <w:t>0</w:t>
            </w:r>
          </w:p>
        </w:tc>
        <w:tc>
          <w:tcPr>
            <w:tcW w:w="620" w:type="dxa"/>
            <w:noWrap w:val="0"/>
            <w:vAlign w:val="center"/>
          </w:tcPr>
          <w:p w14:paraId="1EB36CA2">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p>
        </w:tc>
        <w:tc>
          <w:tcPr>
            <w:tcW w:w="620" w:type="dxa"/>
            <w:noWrap w:val="0"/>
            <w:vAlign w:val="center"/>
          </w:tcPr>
          <w:p w14:paraId="0CDCC3B1">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p>
        </w:tc>
        <w:tc>
          <w:tcPr>
            <w:tcW w:w="620" w:type="dxa"/>
            <w:noWrap w:val="0"/>
            <w:vAlign w:val="center"/>
          </w:tcPr>
          <w:p w14:paraId="52FD7B36">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c>
          <w:tcPr>
            <w:tcW w:w="620" w:type="dxa"/>
            <w:noWrap w:val="0"/>
            <w:vAlign w:val="center"/>
          </w:tcPr>
          <w:p w14:paraId="4185252D">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r>
      <w:tr w14:paraId="6B083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jc w:val="center"/>
        </w:trPr>
        <w:tc>
          <w:tcPr>
            <w:tcW w:w="349" w:type="dxa"/>
            <w:noWrap w:val="0"/>
            <w:vAlign w:val="center"/>
          </w:tcPr>
          <w:p w14:paraId="0CAFFC7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cs="宋体"/>
                <w:color w:val="auto"/>
                <w:kern w:val="0"/>
                <w:sz w:val="21"/>
                <w:szCs w:val="21"/>
                <w:lang w:val="en-US" w:eastAsia="zh-CN"/>
              </w:rPr>
            </w:pPr>
            <w:r>
              <w:rPr>
                <w:rFonts w:hint="default" w:ascii="宋体" w:hAnsi="宋体" w:eastAsia="宋体" w:cs="宋体"/>
                <w:color w:val="auto"/>
                <w:kern w:val="0"/>
                <w:sz w:val="21"/>
                <w:szCs w:val="21"/>
                <w:lang w:val="en-US" w:eastAsia="zh-CN"/>
              </w:rPr>
              <w:t>5</w:t>
            </w:r>
          </w:p>
        </w:tc>
        <w:tc>
          <w:tcPr>
            <w:tcW w:w="709" w:type="dxa"/>
            <w:noWrap w:val="0"/>
            <w:vAlign w:val="center"/>
          </w:tcPr>
          <w:p w14:paraId="069DB14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kern w:val="0"/>
                <w:sz w:val="21"/>
                <w:szCs w:val="21"/>
              </w:rPr>
            </w:pPr>
            <w:r>
              <w:rPr>
                <w:rFonts w:hint="default" w:ascii="宋体" w:hAnsi="宋体" w:eastAsia="宋体" w:cs="宋体"/>
                <w:color w:val="auto"/>
                <w:kern w:val="0"/>
                <w:sz w:val="21"/>
                <w:szCs w:val="21"/>
                <w:lang w:val="en-US" w:eastAsia="zh-CN"/>
              </w:rPr>
              <w:t>淬火槽</w:t>
            </w:r>
          </w:p>
        </w:tc>
        <w:tc>
          <w:tcPr>
            <w:tcW w:w="3573" w:type="dxa"/>
            <w:noWrap w:val="0"/>
            <w:vAlign w:val="center"/>
          </w:tcPr>
          <w:p w14:paraId="645C854C">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1.原淬火槽设备利旧使用，重新搬移摆放；</w:t>
            </w:r>
          </w:p>
          <w:p w14:paraId="4507A40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2.线路改造，优化与淬火机及工业机器人的空间位置关系；</w:t>
            </w:r>
          </w:p>
          <w:p w14:paraId="2B487B5D">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3.作为淬火冷却工序的核心载体，与机器人搬运时序精确协同；</w:t>
            </w:r>
          </w:p>
          <w:p w14:paraId="6EB1605B">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color w:val="auto"/>
                <w:sz w:val="21"/>
                <w:szCs w:val="21"/>
                <w:lang w:val="en-US" w:eastAsia="zh-CN"/>
              </w:rPr>
            </w:pPr>
            <w:r>
              <w:rPr>
                <w:rFonts w:hint="default" w:ascii="宋体" w:hAnsi="宋体" w:eastAsia="宋体" w:cs="宋体"/>
                <w:color w:val="auto"/>
                <w:kern w:val="0"/>
                <w:sz w:val="21"/>
                <w:szCs w:val="21"/>
                <w:lang w:val="en-US" w:eastAsia="zh-CN"/>
              </w:rPr>
              <w:t>4.确保工件完成加热后及时、准确转入冷却介质中进行淬火处理。</w:t>
            </w:r>
          </w:p>
        </w:tc>
        <w:tc>
          <w:tcPr>
            <w:tcW w:w="725" w:type="dxa"/>
            <w:noWrap w:val="0"/>
            <w:vAlign w:val="center"/>
          </w:tcPr>
          <w:p w14:paraId="07E5A43F">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09" w:type="dxa"/>
            <w:noWrap w:val="0"/>
            <w:vAlign w:val="center"/>
          </w:tcPr>
          <w:p w14:paraId="23668A65">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60" w:type="dxa"/>
            <w:noWrap w:val="0"/>
            <w:vAlign w:val="center"/>
          </w:tcPr>
          <w:p w14:paraId="1F374460">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40</w:t>
            </w:r>
            <w:r>
              <w:rPr>
                <w:rFonts w:hint="default" w:ascii="宋体" w:hAnsi="宋体" w:eastAsia="宋体" w:cs="宋体"/>
                <w:color w:val="auto"/>
                <w:kern w:val="0"/>
                <w:sz w:val="21"/>
                <w:szCs w:val="21"/>
                <w:lang w:val="en-US" w:eastAsia="zh-CN"/>
              </w:rPr>
              <w:t>0</w:t>
            </w:r>
          </w:p>
        </w:tc>
        <w:tc>
          <w:tcPr>
            <w:tcW w:w="753" w:type="dxa"/>
            <w:noWrap w:val="0"/>
            <w:vAlign w:val="center"/>
          </w:tcPr>
          <w:p w14:paraId="7612F741">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40</w:t>
            </w:r>
            <w:r>
              <w:rPr>
                <w:rFonts w:hint="default" w:ascii="宋体" w:hAnsi="宋体" w:eastAsia="宋体" w:cs="宋体"/>
                <w:color w:val="auto"/>
                <w:kern w:val="0"/>
                <w:sz w:val="21"/>
                <w:szCs w:val="21"/>
                <w:lang w:val="en-US" w:eastAsia="zh-CN"/>
              </w:rPr>
              <w:t>0</w:t>
            </w:r>
          </w:p>
        </w:tc>
        <w:tc>
          <w:tcPr>
            <w:tcW w:w="620" w:type="dxa"/>
            <w:noWrap w:val="0"/>
            <w:vAlign w:val="center"/>
          </w:tcPr>
          <w:p w14:paraId="7AA307DC">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p>
        </w:tc>
        <w:tc>
          <w:tcPr>
            <w:tcW w:w="620" w:type="dxa"/>
            <w:noWrap w:val="0"/>
            <w:vAlign w:val="center"/>
          </w:tcPr>
          <w:p w14:paraId="123ECCC2">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p>
        </w:tc>
        <w:tc>
          <w:tcPr>
            <w:tcW w:w="620" w:type="dxa"/>
            <w:noWrap w:val="0"/>
            <w:vAlign w:val="center"/>
          </w:tcPr>
          <w:p w14:paraId="6AF50E30">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c>
          <w:tcPr>
            <w:tcW w:w="620" w:type="dxa"/>
            <w:noWrap w:val="0"/>
            <w:vAlign w:val="center"/>
          </w:tcPr>
          <w:p w14:paraId="4FC15B56">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r>
      <w:tr w14:paraId="210D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3" w:hRule="atLeast"/>
          <w:jc w:val="center"/>
        </w:trPr>
        <w:tc>
          <w:tcPr>
            <w:tcW w:w="349" w:type="dxa"/>
            <w:noWrap w:val="0"/>
            <w:vAlign w:val="center"/>
          </w:tcPr>
          <w:p w14:paraId="0791D5C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cs="宋体"/>
                <w:color w:val="auto"/>
                <w:kern w:val="0"/>
                <w:sz w:val="21"/>
                <w:szCs w:val="21"/>
                <w:lang w:val="en-US" w:eastAsia="zh-CN"/>
              </w:rPr>
            </w:pPr>
            <w:r>
              <w:rPr>
                <w:rFonts w:hint="default" w:ascii="宋体" w:hAnsi="宋体" w:eastAsia="宋体" w:cs="宋体"/>
                <w:color w:val="auto"/>
                <w:kern w:val="0"/>
                <w:sz w:val="21"/>
                <w:szCs w:val="21"/>
                <w:lang w:val="en-US" w:eastAsia="zh-CN"/>
              </w:rPr>
              <w:t>6</w:t>
            </w:r>
          </w:p>
        </w:tc>
        <w:tc>
          <w:tcPr>
            <w:tcW w:w="709" w:type="dxa"/>
            <w:noWrap w:val="0"/>
            <w:vAlign w:val="center"/>
          </w:tcPr>
          <w:p w14:paraId="11F0DFC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kern w:val="0"/>
                <w:sz w:val="21"/>
                <w:szCs w:val="21"/>
              </w:rPr>
            </w:pPr>
            <w:r>
              <w:rPr>
                <w:rFonts w:hint="default" w:ascii="宋体" w:hAnsi="宋体" w:eastAsia="宋体" w:cs="宋体"/>
                <w:color w:val="auto"/>
                <w:kern w:val="0"/>
                <w:sz w:val="21"/>
                <w:szCs w:val="21"/>
                <w:lang w:val="en-US" w:eastAsia="zh-CN"/>
              </w:rPr>
              <w:t>全自动攻丝机</w:t>
            </w:r>
          </w:p>
        </w:tc>
        <w:tc>
          <w:tcPr>
            <w:tcW w:w="3573" w:type="dxa"/>
            <w:noWrap w:val="0"/>
            <w:vAlign w:val="center"/>
          </w:tcPr>
          <w:p w14:paraId="13C5BF79">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齿轮式自动攻丝机；</w:t>
            </w:r>
          </w:p>
          <w:p w14:paraId="59B58A1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主轴锥度：B16；</w:t>
            </w:r>
          </w:p>
          <w:p w14:paraId="5E5DD36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主轴直径：42MM；</w:t>
            </w:r>
          </w:p>
          <w:p w14:paraId="580B59B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电机功率：0.75KW-1.1KW；</w:t>
            </w:r>
          </w:p>
          <w:p w14:paraId="412F6B15">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主轴行程：45MM；</w:t>
            </w:r>
          </w:p>
          <w:p w14:paraId="05175E42">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转速：</w:t>
            </w:r>
            <w:r>
              <w:rPr>
                <w:rFonts w:hint="eastAsia" w:ascii="宋体" w:hAnsi="宋体" w:cs="宋体"/>
                <w:color w:val="auto"/>
                <w:kern w:val="0"/>
                <w:sz w:val="21"/>
                <w:szCs w:val="21"/>
                <w:lang w:val="en-US" w:eastAsia="zh-CN"/>
              </w:rPr>
              <w:t>0-500rpm</w:t>
            </w:r>
            <w:r>
              <w:rPr>
                <w:rFonts w:hint="default" w:ascii="宋体" w:hAnsi="宋体" w:eastAsia="宋体" w:cs="宋体"/>
                <w:color w:val="auto"/>
                <w:kern w:val="0"/>
                <w:sz w:val="21"/>
                <w:szCs w:val="21"/>
                <w:lang w:val="en-US" w:eastAsia="zh-CN"/>
              </w:rPr>
              <w:t>；</w:t>
            </w:r>
          </w:p>
          <w:p w14:paraId="5FE5AFC5">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攻牙精度：0.1MM；</w:t>
            </w:r>
          </w:p>
          <w:p w14:paraId="6B52BE4A">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工作介质：螺纹加工/攻丝；</w:t>
            </w:r>
          </w:p>
          <w:p w14:paraId="2C131FB8">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攻牙能力45#钢：M</w:t>
            </w:r>
            <w:r>
              <w:rPr>
                <w:rFonts w:hint="eastAsia" w:ascii="宋体" w:hAnsi="宋体" w:cs="宋体"/>
                <w:color w:val="auto"/>
                <w:kern w:val="0"/>
                <w:sz w:val="21"/>
                <w:szCs w:val="21"/>
                <w:lang w:val="en-US" w:eastAsia="zh-CN"/>
              </w:rPr>
              <w:t>3</w:t>
            </w:r>
            <w:r>
              <w:rPr>
                <w:rFonts w:hint="default" w:ascii="宋体" w:hAnsi="宋体" w:eastAsia="宋体" w:cs="宋体"/>
                <w:color w:val="auto"/>
                <w:kern w:val="0"/>
                <w:sz w:val="21"/>
                <w:szCs w:val="21"/>
                <w:lang w:val="en-US" w:eastAsia="zh-CN"/>
              </w:rPr>
              <w:t>-M</w:t>
            </w:r>
            <w:r>
              <w:rPr>
                <w:rFonts w:hint="eastAsia" w:ascii="宋体" w:hAnsi="宋体" w:cs="宋体"/>
                <w:color w:val="auto"/>
                <w:kern w:val="0"/>
                <w:sz w:val="21"/>
                <w:szCs w:val="21"/>
                <w:lang w:val="en-US" w:eastAsia="zh-CN"/>
              </w:rPr>
              <w:t>2</w:t>
            </w:r>
            <w:r>
              <w:rPr>
                <w:rFonts w:hint="default" w:ascii="宋体" w:hAnsi="宋体" w:eastAsia="宋体" w:cs="宋体"/>
                <w:color w:val="auto"/>
                <w:kern w:val="0"/>
                <w:sz w:val="21"/>
                <w:szCs w:val="21"/>
                <w:lang w:val="en-US" w:eastAsia="zh-CN"/>
              </w:rPr>
              <w:t>0；</w:t>
            </w:r>
          </w:p>
          <w:p w14:paraId="05EB5938">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机头上下动距：260mm；</w:t>
            </w:r>
          </w:p>
          <w:p w14:paraId="3D0C5FA6">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color w:val="auto"/>
                <w:sz w:val="21"/>
                <w:szCs w:val="21"/>
                <w:lang w:val="en-US" w:eastAsia="zh-CN"/>
              </w:rPr>
            </w:pPr>
            <w:r>
              <w:rPr>
                <w:rFonts w:hint="default" w:ascii="宋体" w:hAnsi="宋体" w:eastAsia="宋体" w:cs="宋体"/>
                <w:color w:val="auto"/>
                <w:kern w:val="0"/>
                <w:sz w:val="21"/>
                <w:szCs w:val="21"/>
                <w:lang w:val="en-US" w:eastAsia="zh-CN"/>
              </w:rPr>
              <w:t>主轴端到工作台距离：350mm；</w:t>
            </w:r>
          </w:p>
        </w:tc>
        <w:tc>
          <w:tcPr>
            <w:tcW w:w="725" w:type="dxa"/>
            <w:noWrap w:val="0"/>
            <w:vAlign w:val="center"/>
          </w:tcPr>
          <w:p w14:paraId="77240379">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09" w:type="dxa"/>
            <w:noWrap w:val="0"/>
            <w:vAlign w:val="center"/>
          </w:tcPr>
          <w:p w14:paraId="38AFFF6C">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60" w:type="dxa"/>
            <w:noWrap w:val="0"/>
            <w:vAlign w:val="center"/>
          </w:tcPr>
          <w:p w14:paraId="0F42E2D2">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18000</w:t>
            </w:r>
          </w:p>
        </w:tc>
        <w:tc>
          <w:tcPr>
            <w:tcW w:w="753" w:type="dxa"/>
            <w:noWrap w:val="0"/>
            <w:vAlign w:val="center"/>
          </w:tcPr>
          <w:p w14:paraId="0452A900">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18000</w:t>
            </w:r>
          </w:p>
        </w:tc>
        <w:tc>
          <w:tcPr>
            <w:tcW w:w="620" w:type="dxa"/>
            <w:noWrap w:val="0"/>
            <w:vAlign w:val="center"/>
          </w:tcPr>
          <w:p w14:paraId="6E129E52">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72BE2395">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7BF08025">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c>
          <w:tcPr>
            <w:tcW w:w="620" w:type="dxa"/>
            <w:noWrap w:val="0"/>
            <w:vAlign w:val="center"/>
          </w:tcPr>
          <w:p w14:paraId="3AB0684C">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r>
      <w:tr w14:paraId="0EF6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jc w:val="center"/>
        </w:trPr>
        <w:tc>
          <w:tcPr>
            <w:tcW w:w="349" w:type="dxa"/>
            <w:noWrap w:val="0"/>
            <w:vAlign w:val="center"/>
          </w:tcPr>
          <w:p w14:paraId="2D40920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cs="宋体"/>
                <w:color w:val="auto"/>
                <w:kern w:val="0"/>
                <w:sz w:val="21"/>
                <w:szCs w:val="21"/>
                <w:lang w:val="en-US" w:eastAsia="zh-CN"/>
              </w:rPr>
            </w:pPr>
            <w:r>
              <w:rPr>
                <w:rFonts w:hint="default" w:ascii="宋体" w:hAnsi="宋体" w:eastAsia="宋体" w:cs="宋体"/>
                <w:color w:val="auto"/>
                <w:kern w:val="0"/>
                <w:sz w:val="21"/>
                <w:szCs w:val="21"/>
                <w:lang w:val="en-US" w:eastAsia="zh-CN"/>
              </w:rPr>
              <w:t>7</w:t>
            </w:r>
          </w:p>
        </w:tc>
        <w:tc>
          <w:tcPr>
            <w:tcW w:w="709" w:type="dxa"/>
            <w:noWrap w:val="0"/>
            <w:vAlign w:val="center"/>
          </w:tcPr>
          <w:p w14:paraId="5563933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kern w:val="0"/>
                <w:sz w:val="21"/>
                <w:szCs w:val="21"/>
              </w:rPr>
            </w:pPr>
            <w:r>
              <w:rPr>
                <w:rFonts w:hint="default" w:ascii="宋体" w:hAnsi="宋体" w:eastAsia="宋体" w:cs="宋体"/>
                <w:color w:val="auto"/>
                <w:kern w:val="0"/>
                <w:sz w:val="21"/>
                <w:szCs w:val="21"/>
                <w:lang w:val="en-US" w:eastAsia="zh-CN"/>
              </w:rPr>
              <w:t>红外测温系统</w:t>
            </w:r>
          </w:p>
        </w:tc>
        <w:tc>
          <w:tcPr>
            <w:tcW w:w="3573" w:type="dxa"/>
            <w:noWrap w:val="0"/>
            <w:vAlign w:val="center"/>
          </w:tcPr>
          <w:p w14:paraId="2801364A">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同轴双激光瞄准短波探头；</w:t>
            </w:r>
          </w:p>
          <w:p w14:paraId="4811EB6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防护等级：IP65；</w:t>
            </w:r>
          </w:p>
          <w:p w14:paraId="79FB004C">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环境温度：0-60℃；</w:t>
            </w:r>
          </w:p>
          <w:p w14:paraId="7DB045A7">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储存温度：-20~80℃；</w:t>
            </w:r>
          </w:p>
          <w:p w14:paraId="59EBE4F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相对湿度：10-95%（不结露）；</w:t>
            </w:r>
          </w:p>
          <w:p w14:paraId="586E3845">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外壳材料：304不锈钢；</w:t>
            </w:r>
          </w:p>
          <w:p w14:paraId="1CCE8B0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电缆长度：1.5m标准（可延长）；</w:t>
            </w:r>
          </w:p>
          <w:p w14:paraId="1A9DE5A5">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外形尺寸：M18*138mm；</w:t>
            </w:r>
          </w:p>
          <w:p w14:paraId="5360DF10">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输出信号：4-20mA；</w:t>
            </w:r>
          </w:p>
          <w:p w14:paraId="4252EEA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光谱范围：1.6μm；</w:t>
            </w:r>
          </w:p>
          <w:p w14:paraId="4CED9066">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发射率：0.95固定；</w:t>
            </w:r>
          </w:p>
          <w:p w14:paraId="4D6349FF">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光学分辨率：100:1；</w:t>
            </w:r>
          </w:p>
          <w:p w14:paraId="0B8F836E">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工作电源：12-24VDC；</w:t>
            </w:r>
          </w:p>
          <w:p w14:paraId="3784C472">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测温精度：±1%或±1℃；</w:t>
            </w:r>
          </w:p>
          <w:p w14:paraId="1802B399">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重复精度：±0.5%或±0.5℃；</w:t>
            </w:r>
          </w:p>
          <w:p w14:paraId="1E8F6481">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最大负荷：700Ω（24VDC）；</w:t>
            </w:r>
          </w:p>
          <w:p w14:paraId="76BBB71F">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温度范围：</w:t>
            </w:r>
            <w:r>
              <w:rPr>
                <w:rFonts w:hint="eastAsia" w:ascii="宋体" w:hAnsi="宋体" w:cs="宋体"/>
                <w:color w:val="auto"/>
                <w:kern w:val="0"/>
                <w:sz w:val="21"/>
                <w:szCs w:val="21"/>
                <w:lang w:val="en-US" w:eastAsia="zh-CN"/>
              </w:rPr>
              <w:t>0</w:t>
            </w:r>
            <w:r>
              <w:rPr>
                <w:rFonts w:hint="default" w:ascii="宋体" w:hAnsi="宋体" w:eastAsia="宋体" w:cs="宋体"/>
                <w:color w:val="auto"/>
                <w:kern w:val="0"/>
                <w:sz w:val="21"/>
                <w:szCs w:val="21"/>
                <w:lang w:val="en-US" w:eastAsia="zh-CN"/>
              </w:rPr>
              <w:t>~1</w:t>
            </w:r>
            <w:r>
              <w:rPr>
                <w:rFonts w:hint="eastAsia" w:ascii="宋体" w:hAnsi="宋体" w:cs="宋体"/>
                <w:color w:val="auto"/>
                <w:kern w:val="0"/>
                <w:sz w:val="21"/>
                <w:szCs w:val="21"/>
                <w:lang w:val="en-US" w:eastAsia="zh-CN"/>
              </w:rPr>
              <w:t>3</w:t>
            </w:r>
            <w:r>
              <w:rPr>
                <w:rFonts w:hint="default" w:ascii="宋体" w:hAnsi="宋体" w:eastAsia="宋体" w:cs="宋体"/>
                <w:color w:val="auto"/>
                <w:kern w:val="0"/>
                <w:sz w:val="21"/>
                <w:szCs w:val="21"/>
                <w:lang w:val="en-US" w:eastAsia="zh-CN"/>
              </w:rPr>
              <w:t>00℃；</w:t>
            </w:r>
          </w:p>
          <w:p w14:paraId="3CB34948">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响应时间：40ms；</w:t>
            </w:r>
          </w:p>
          <w:p w14:paraId="73EF1403">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红外测温探头主要适用范围：</w:t>
            </w:r>
          </w:p>
          <w:p w14:paraId="1E2D2F01">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行业工艺类：高频淬火、热处理、离子镀膜、热压烧结；</w:t>
            </w:r>
          </w:p>
          <w:p w14:paraId="7F55D068">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物料品类：线材、铜、石墨、玻璃、金属、光亮金属；</w:t>
            </w:r>
          </w:p>
          <w:p w14:paraId="5F52B56A">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轻工制造：印染、纺织、造纸、煤炭、化工；</w:t>
            </w:r>
          </w:p>
          <w:p w14:paraId="0C15212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color w:val="auto"/>
                <w:sz w:val="21"/>
                <w:szCs w:val="21"/>
                <w:lang w:val="en-US" w:eastAsia="zh-CN"/>
              </w:rPr>
            </w:pPr>
            <w:r>
              <w:rPr>
                <w:rFonts w:hint="default" w:ascii="宋体" w:hAnsi="宋体" w:eastAsia="宋体" w:cs="宋体"/>
                <w:color w:val="auto"/>
                <w:kern w:val="0"/>
                <w:sz w:val="21"/>
                <w:szCs w:val="21"/>
                <w:lang w:val="en-US" w:eastAsia="zh-CN"/>
              </w:rPr>
              <w:t>高温工业：炉窑、冶金、钢铁；</w:t>
            </w:r>
          </w:p>
        </w:tc>
        <w:tc>
          <w:tcPr>
            <w:tcW w:w="725" w:type="dxa"/>
            <w:noWrap w:val="0"/>
            <w:vAlign w:val="center"/>
          </w:tcPr>
          <w:p w14:paraId="343C209C">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09" w:type="dxa"/>
            <w:noWrap w:val="0"/>
            <w:vAlign w:val="center"/>
          </w:tcPr>
          <w:p w14:paraId="694F954A">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60" w:type="dxa"/>
            <w:noWrap w:val="0"/>
            <w:vAlign w:val="center"/>
          </w:tcPr>
          <w:p w14:paraId="7B455D1F">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6000</w:t>
            </w:r>
          </w:p>
        </w:tc>
        <w:tc>
          <w:tcPr>
            <w:tcW w:w="753" w:type="dxa"/>
            <w:noWrap w:val="0"/>
            <w:vAlign w:val="center"/>
          </w:tcPr>
          <w:p w14:paraId="543F9479">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6000</w:t>
            </w:r>
          </w:p>
        </w:tc>
        <w:tc>
          <w:tcPr>
            <w:tcW w:w="620" w:type="dxa"/>
            <w:noWrap w:val="0"/>
            <w:vAlign w:val="center"/>
          </w:tcPr>
          <w:p w14:paraId="3EF1C935">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507D89F1">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0FC44DDF">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c>
          <w:tcPr>
            <w:tcW w:w="620" w:type="dxa"/>
            <w:noWrap w:val="0"/>
            <w:vAlign w:val="center"/>
          </w:tcPr>
          <w:p w14:paraId="5CF5885B">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r>
      <w:tr w14:paraId="4D1A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0" w:hRule="atLeast"/>
          <w:jc w:val="center"/>
        </w:trPr>
        <w:tc>
          <w:tcPr>
            <w:tcW w:w="349" w:type="dxa"/>
            <w:noWrap w:val="0"/>
            <w:vAlign w:val="center"/>
          </w:tcPr>
          <w:p w14:paraId="538BC42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8</w:t>
            </w:r>
          </w:p>
        </w:tc>
        <w:tc>
          <w:tcPr>
            <w:tcW w:w="709" w:type="dxa"/>
            <w:noWrap w:val="0"/>
            <w:vAlign w:val="center"/>
          </w:tcPr>
          <w:p w14:paraId="67EA008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kern w:val="0"/>
                <w:sz w:val="21"/>
                <w:szCs w:val="21"/>
              </w:rPr>
            </w:pPr>
            <w:r>
              <w:rPr>
                <w:rFonts w:hint="default" w:ascii="宋体" w:hAnsi="宋体" w:eastAsia="宋体" w:cs="宋体"/>
                <w:color w:val="auto"/>
                <w:kern w:val="0"/>
                <w:sz w:val="21"/>
                <w:szCs w:val="21"/>
                <w:lang w:val="en-US" w:eastAsia="zh-CN"/>
              </w:rPr>
              <w:t>工业围栏（含安全门锁）</w:t>
            </w:r>
          </w:p>
        </w:tc>
        <w:tc>
          <w:tcPr>
            <w:tcW w:w="3573" w:type="dxa"/>
            <w:noWrap w:val="0"/>
            <w:vAlign w:val="center"/>
          </w:tcPr>
          <w:p w14:paraId="6264BB4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1.原工业围栏利旧使用，依据工作站最终布局进行适应性改装或增减；</w:t>
            </w:r>
          </w:p>
          <w:p w14:paraId="53CCE1D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2.围栏整体尺寸根据现场定制，配合安全门锁与安全联锁回路；</w:t>
            </w:r>
          </w:p>
          <w:p w14:paraId="148E73B2">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3.构建符合工业安全规范的物理隔离防护体系；</w:t>
            </w:r>
          </w:p>
          <w:p w14:paraId="3AC1CC21">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color w:val="auto"/>
                <w:sz w:val="21"/>
                <w:szCs w:val="21"/>
                <w:lang w:val="en-US" w:eastAsia="zh-CN"/>
              </w:rPr>
            </w:pPr>
            <w:r>
              <w:rPr>
                <w:rFonts w:hint="default" w:ascii="宋体" w:hAnsi="宋体" w:eastAsia="宋体" w:cs="宋体"/>
                <w:color w:val="auto"/>
                <w:kern w:val="0"/>
                <w:sz w:val="21"/>
                <w:szCs w:val="21"/>
                <w:lang w:val="en-US" w:eastAsia="zh-CN"/>
              </w:rPr>
              <w:t>4.安全门锁与机器人控制系统实现硬线联锁，门开启时自动切断机器人动力电源并暂停全部自动流程。</w:t>
            </w:r>
          </w:p>
        </w:tc>
        <w:tc>
          <w:tcPr>
            <w:tcW w:w="725" w:type="dxa"/>
            <w:noWrap w:val="0"/>
            <w:vAlign w:val="center"/>
          </w:tcPr>
          <w:p w14:paraId="7B95EE37">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09" w:type="dxa"/>
            <w:noWrap w:val="0"/>
            <w:vAlign w:val="center"/>
          </w:tcPr>
          <w:p w14:paraId="7FC3BD58">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60" w:type="dxa"/>
            <w:noWrap w:val="0"/>
            <w:vAlign w:val="center"/>
          </w:tcPr>
          <w:p w14:paraId="2DDC7355">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3000</w:t>
            </w:r>
          </w:p>
        </w:tc>
        <w:tc>
          <w:tcPr>
            <w:tcW w:w="753" w:type="dxa"/>
            <w:noWrap w:val="0"/>
            <w:vAlign w:val="center"/>
          </w:tcPr>
          <w:p w14:paraId="44F191E9">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3000</w:t>
            </w:r>
          </w:p>
        </w:tc>
        <w:tc>
          <w:tcPr>
            <w:tcW w:w="620" w:type="dxa"/>
            <w:noWrap w:val="0"/>
            <w:vAlign w:val="center"/>
          </w:tcPr>
          <w:p w14:paraId="39B11F1A">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7A97702B">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p>
        </w:tc>
        <w:tc>
          <w:tcPr>
            <w:tcW w:w="620" w:type="dxa"/>
            <w:noWrap w:val="0"/>
            <w:vAlign w:val="center"/>
          </w:tcPr>
          <w:p w14:paraId="6AD89432">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c>
          <w:tcPr>
            <w:tcW w:w="620" w:type="dxa"/>
            <w:noWrap w:val="0"/>
            <w:vAlign w:val="center"/>
          </w:tcPr>
          <w:p w14:paraId="7D716D39">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r>
      <w:tr w14:paraId="09A8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1" w:hRule="atLeast"/>
          <w:jc w:val="center"/>
        </w:trPr>
        <w:tc>
          <w:tcPr>
            <w:tcW w:w="349" w:type="dxa"/>
            <w:noWrap w:val="0"/>
            <w:vAlign w:val="center"/>
          </w:tcPr>
          <w:p w14:paraId="296E2ED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9</w:t>
            </w:r>
          </w:p>
        </w:tc>
        <w:tc>
          <w:tcPr>
            <w:tcW w:w="709" w:type="dxa"/>
            <w:noWrap w:val="0"/>
            <w:vAlign w:val="center"/>
          </w:tcPr>
          <w:p w14:paraId="40EB86C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数控机床的调整及淬火工作站的</w:t>
            </w:r>
            <w:r>
              <w:rPr>
                <w:rFonts w:hint="default" w:ascii="宋体" w:hAnsi="宋体" w:eastAsia="宋体" w:cs="宋体"/>
                <w:color w:val="auto"/>
                <w:kern w:val="0"/>
                <w:sz w:val="21"/>
                <w:szCs w:val="21"/>
                <w:lang w:val="en-US" w:eastAsia="zh-CN"/>
              </w:rPr>
              <w:t>安装调试与维护</w:t>
            </w:r>
          </w:p>
        </w:tc>
        <w:tc>
          <w:tcPr>
            <w:tcW w:w="3573" w:type="dxa"/>
            <w:noWrap w:val="0"/>
            <w:vAlign w:val="center"/>
          </w:tcPr>
          <w:p w14:paraId="27A6F9F5">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1.定制化电气控制改造，涵盖系统集成所需的全部线缆、气管等安装耗材的供应与敷设；</w:t>
            </w:r>
          </w:p>
          <w:p w14:paraId="4876A9AD">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lang w:val="en-US" w:eastAsia="zh-CN"/>
              </w:rPr>
              <w:t>旧设备搬运，数控加工中心，数控车床，工业机器人布局调整，以及其信号线缆，通讯线缆重定位，重布线</w:t>
            </w:r>
            <w:r>
              <w:rPr>
                <w:rFonts w:hint="default" w:ascii="宋体" w:hAnsi="宋体" w:eastAsia="宋体" w:cs="宋体"/>
                <w:color w:val="auto"/>
                <w:kern w:val="0"/>
                <w:sz w:val="21"/>
                <w:szCs w:val="21"/>
                <w:lang w:val="en-US" w:eastAsia="zh-CN"/>
              </w:rPr>
              <w:t>；</w:t>
            </w:r>
          </w:p>
          <w:p w14:paraId="2AB4CD71">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3.人机交互界面组态、各设备间通信协议配置与信号联调；</w:t>
            </w:r>
          </w:p>
          <w:p w14:paraId="15A65752">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4.整机联动空运行与带载试运行，操作人员培训与系统维护文档编制；</w:t>
            </w:r>
          </w:p>
          <w:p w14:paraId="174C3E28">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default"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lang w:val="en-US" w:eastAsia="zh-CN"/>
              </w:rPr>
              <w:t>数控车床精度复检、机器人点位精度与轨迹测试，带料慢速测试与耐久性试运行。</w:t>
            </w:r>
          </w:p>
          <w:p w14:paraId="2BCC0291">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w:t>
            </w:r>
            <w:r>
              <w:rPr>
                <w:rFonts w:hint="default" w:ascii="宋体" w:hAnsi="宋体" w:eastAsia="宋体" w:cs="宋体"/>
                <w:color w:val="auto"/>
                <w:kern w:val="0"/>
                <w:sz w:val="21"/>
                <w:szCs w:val="21"/>
                <w:lang w:val="en-US" w:eastAsia="zh-CN"/>
              </w:rPr>
              <w:t>.拆除原有机器人上下料协同控制所需的自动门驱动线路及信号交互线缆，恢复机床为标准独立操作模式；</w:t>
            </w:r>
          </w:p>
          <w:p w14:paraId="708C40D5">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w:t>
            </w:r>
            <w:r>
              <w:rPr>
                <w:rFonts w:hint="default" w:ascii="宋体" w:hAnsi="宋体" w:eastAsia="宋体" w:cs="宋体"/>
                <w:color w:val="auto"/>
                <w:kern w:val="0"/>
                <w:sz w:val="21"/>
                <w:szCs w:val="21"/>
                <w:lang w:val="en-US" w:eastAsia="zh-CN"/>
              </w:rPr>
              <w:t>.对机床进行空间位置调整与方向重新布局，将机床操作面板与工作区域朝向学生操作侧，释放宽敞、安全的手动上下料与数控编程作业空间；</w:t>
            </w:r>
          </w:p>
          <w:p w14:paraId="098222EB">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w:t>
            </w:r>
            <w:r>
              <w:rPr>
                <w:rFonts w:hint="default" w:ascii="宋体" w:hAnsi="宋体" w:eastAsia="宋体" w:cs="宋体"/>
                <w:color w:val="auto"/>
                <w:kern w:val="0"/>
                <w:sz w:val="21"/>
                <w:szCs w:val="21"/>
                <w:lang w:val="en-US" w:eastAsia="zh-CN"/>
              </w:rPr>
              <w:t>.完成机床移位后的水平校准与精度复检，保障设备加工精度与实训教学安全性；</w:t>
            </w:r>
          </w:p>
          <w:p w14:paraId="580120B1">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w:t>
            </w:r>
            <w:r>
              <w:rPr>
                <w:rFonts w:hint="default" w:ascii="宋体" w:hAnsi="宋体" w:eastAsia="宋体" w:cs="宋体"/>
                <w:color w:val="auto"/>
                <w:kern w:val="0"/>
                <w:sz w:val="21"/>
                <w:szCs w:val="21"/>
                <w:lang w:val="en-US" w:eastAsia="zh-CN"/>
              </w:rPr>
              <w:t>.改造后机床作为独立的数控加工实训设备，回归传统手工编程与操作教学模式，可单独用于数控编程与零件加工等实训项目的日常教学；</w:t>
            </w:r>
          </w:p>
          <w:p w14:paraId="114C74C0">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color w:val="auto"/>
                <w:sz w:val="21"/>
                <w:szCs w:val="21"/>
                <w:lang w:val="en-US" w:eastAsia="zh-CN"/>
              </w:rPr>
            </w:pPr>
            <w:r>
              <w:rPr>
                <w:rFonts w:hint="eastAsia" w:ascii="宋体" w:hAnsi="宋体" w:eastAsia="宋体" w:cs="宋体"/>
                <w:color w:val="auto"/>
                <w:kern w:val="0"/>
                <w:sz w:val="21"/>
                <w:szCs w:val="21"/>
                <w:lang w:val="en-US" w:eastAsia="zh-CN"/>
              </w:rPr>
              <w:t>10</w:t>
            </w:r>
            <w:r>
              <w:rPr>
                <w:rFonts w:hint="default" w:ascii="宋体" w:hAnsi="宋体" w:eastAsia="宋体" w:cs="宋体"/>
                <w:color w:val="auto"/>
                <w:kern w:val="0"/>
                <w:sz w:val="21"/>
                <w:szCs w:val="21"/>
                <w:lang w:val="en-US" w:eastAsia="zh-CN"/>
              </w:rPr>
              <w:t>.满足学生手动上下料、对刀操作、程序编辑与调试等基础技能训练需求。</w:t>
            </w:r>
          </w:p>
        </w:tc>
        <w:tc>
          <w:tcPr>
            <w:tcW w:w="725" w:type="dxa"/>
            <w:noWrap w:val="0"/>
            <w:vAlign w:val="center"/>
          </w:tcPr>
          <w:p w14:paraId="3408DD63">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09" w:type="dxa"/>
            <w:noWrap w:val="0"/>
            <w:vAlign w:val="center"/>
          </w:tcPr>
          <w:p w14:paraId="0471BC7B">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项</w:t>
            </w:r>
          </w:p>
        </w:tc>
        <w:tc>
          <w:tcPr>
            <w:tcW w:w="760" w:type="dxa"/>
            <w:noWrap w:val="0"/>
            <w:vAlign w:val="center"/>
          </w:tcPr>
          <w:p w14:paraId="0F620CB3">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12000</w:t>
            </w:r>
          </w:p>
        </w:tc>
        <w:tc>
          <w:tcPr>
            <w:tcW w:w="753" w:type="dxa"/>
            <w:noWrap w:val="0"/>
            <w:vAlign w:val="center"/>
          </w:tcPr>
          <w:p w14:paraId="42AEAA57">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12000</w:t>
            </w:r>
          </w:p>
        </w:tc>
        <w:tc>
          <w:tcPr>
            <w:tcW w:w="620" w:type="dxa"/>
            <w:noWrap w:val="0"/>
            <w:vAlign w:val="center"/>
          </w:tcPr>
          <w:p w14:paraId="4E2C6C02">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p>
        </w:tc>
        <w:tc>
          <w:tcPr>
            <w:tcW w:w="620" w:type="dxa"/>
            <w:noWrap w:val="0"/>
            <w:vAlign w:val="center"/>
          </w:tcPr>
          <w:p w14:paraId="3D5BB834">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p>
        </w:tc>
        <w:tc>
          <w:tcPr>
            <w:tcW w:w="620" w:type="dxa"/>
            <w:noWrap w:val="0"/>
            <w:vAlign w:val="center"/>
          </w:tcPr>
          <w:p w14:paraId="21E414B4">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c>
          <w:tcPr>
            <w:tcW w:w="620" w:type="dxa"/>
            <w:noWrap w:val="0"/>
            <w:vAlign w:val="center"/>
          </w:tcPr>
          <w:p w14:paraId="1027751A">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r>
      <w:tr w14:paraId="0712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349" w:type="dxa"/>
            <w:noWrap w:val="0"/>
            <w:vAlign w:val="center"/>
          </w:tcPr>
          <w:p w14:paraId="19A6F9C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10</w:t>
            </w:r>
          </w:p>
        </w:tc>
        <w:tc>
          <w:tcPr>
            <w:tcW w:w="709" w:type="dxa"/>
            <w:noWrap w:val="0"/>
            <w:vAlign w:val="center"/>
          </w:tcPr>
          <w:p w14:paraId="5048A6F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地面处理</w:t>
            </w:r>
          </w:p>
        </w:tc>
        <w:tc>
          <w:tcPr>
            <w:tcW w:w="3573" w:type="dxa"/>
            <w:noWrap w:val="0"/>
            <w:vAlign w:val="center"/>
          </w:tcPr>
          <w:p w14:paraId="287669E8">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车间地面做地坪漆，</w:t>
            </w:r>
            <w:r>
              <w:rPr>
                <w:rFonts w:hint="eastAsia" w:ascii="宋体" w:hAnsi="宋体" w:eastAsia="宋体" w:cs="宋体"/>
                <w:color w:val="auto"/>
                <w:kern w:val="0"/>
                <w:sz w:val="21"/>
                <w:szCs w:val="21"/>
                <w:lang w:val="en-US" w:eastAsia="zh-CN"/>
              </w:rPr>
              <w:t>整体聚氨酯超耐磨5遍工艺，总共≥420平方</w:t>
            </w:r>
            <w:r>
              <w:rPr>
                <w:rFonts w:hint="eastAsia" w:ascii="宋体" w:hAnsi="宋体" w:cs="宋体"/>
                <w:color w:val="auto"/>
                <w:kern w:val="0"/>
                <w:sz w:val="21"/>
                <w:szCs w:val="21"/>
                <w:lang w:val="en-US" w:eastAsia="zh-CN"/>
              </w:rPr>
              <w:t>米</w:t>
            </w:r>
            <w:r>
              <w:rPr>
                <w:rFonts w:hint="eastAsia" w:ascii="宋体" w:hAnsi="宋体" w:eastAsia="宋体" w:cs="宋体"/>
                <w:color w:val="auto"/>
                <w:kern w:val="0"/>
                <w:sz w:val="21"/>
                <w:szCs w:val="21"/>
                <w:lang w:val="en-US" w:eastAsia="zh-CN"/>
              </w:rPr>
              <w:t>。</w:t>
            </w:r>
          </w:p>
          <w:p w14:paraId="61506790">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1.底漆层</w:t>
            </w:r>
          </w:p>
          <w:p w14:paraId="6109DEA6">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2.铲除、打磨、清扫、修补</w:t>
            </w:r>
          </w:p>
          <w:p w14:paraId="5F795EDB">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3.中涂砂浆层</w:t>
            </w:r>
          </w:p>
          <w:p w14:paraId="1B0B2525">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4.打磨砂浆层</w:t>
            </w:r>
          </w:p>
          <w:p w14:paraId="543B312C">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5.中涂腻子层</w:t>
            </w:r>
          </w:p>
          <w:p w14:paraId="3E34C497">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6.平涂面漆层</w:t>
            </w:r>
          </w:p>
          <w:p w14:paraId="2E96C8A0">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7.聚氨酯超耐磨</w:t>
            </w:r>
          </w:p>
          <w:p w14:paraId="63CD01A7">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8.厚度:1mm</w:t>
            </w:r>
          </w:p>
          <w:p w14:paraId="1761A2E1">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9.划线分区，绿色地面，灰色过道</w:t>
            </w:r>
          </w:p>
          <w:p w14:paraId="6305BE1C">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10.车间物料的搬运与复原</w:t>
            </w:r>
          </w:p>
        </w:tc>
        <w:tc>
          <w:tcPr>
            <w:tcW w:w="725" w:type="dxa"/>
            <w:noWrap w:val="0"/>
            <w:vAlign w:val="center"/>
          </w:tcPr>
          <w:p w14:paraId="4D85C893">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420</w:t>
            </w:r>
          </w:p>
        </w:tc>
        <w:tc>
          <w:tcPr>
            <w:tcW w:w="509" w:type="dxa"/>
            <w:noWrap w:val="0"/>
            <w:vAlign w:val="center"/>
          </w:tcPr>
          <w:p w14:paraId="42FED57C">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平方米</w:t>
            </w:r>
          </w:p>
        </w:tc>
        <w:tc>
          <w:tcPr>
            <w:tcW w:w="760" w:type="dxa"/>
            <w:noWrap w:val="0"/>
            <w:vAlign w:val="center"/>
          </w:tcPr>
          <w:p w14:paraId="7F895C9F">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45</w:t>
            </w:r>
          </w:p>
        </w:tc>
        <w:tc>
          <w:tcPr>
            <w:tcW w:w="753" w:type="dxa"/>
            <w:noWrap w:val="0"/>
            <w:vAlign w:val="center"/>
          </w:tcPr>
          <w:p w14:paraId="039D130A">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18900</w:t>
            </w:r>
          </w:p>
        </w:tc>
        <w:tc>
          <w:tcPr>
            <w:tcW w:w="620" w:type="dxa"/>
            <w:noWrap w:val="0"/>
            <w:vAlign w:val="center"/>
          </w:tcPr>
          <w:p w14:paraId="060FCBC5">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lang w:val="en-US" w:eastAsia="zh-CN"/>
              </w:rPr>
            </w:pPr>
          </w:p>
        </w:tc>
        <w:tc>
          <w:tcPr>
            <w:tcW w:w="620" w:type="dxa"/>
            <w:noWrap w:val="0"/>
            <w:vAlign w:val="center"/>
          </w:tcPr>
          <w:p w14:paraId="1BB32963">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lang w:val="en-US" w:eastAsia="zh-CN"/>
              </w:rPr>
            </w:pPr>
          </w:p>
        </w:tc>
        <w:tc>
          <w:tcPr>
            <w:tcW w:w="620" w:type="dxa"/>
            <w:noWrap w:val="0"/>
            <w:vAlign w:val="center"/>
          </w:tcPr>
          <w:p w14:paraId="01B1F45F">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c>
          <w:tcPr>
            <w:tcW w:w="620" w:type="dxa"/>
            <w:noWrap w:val="0"/>
            <w:vAlign w:val="center"/>
          </w:tcPr>
          <w:p w14:paraId="32D84EA5">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r>
      <w:tr w14:paraId="3BA2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6625" w:type="dxa"/>
            <w:gridSpan w:val="6"/>
            <w:noWrap w:val="0"/>
            <w:vAlign w:val="center"/>
          </w:tcPr>
          <w:p w14:paraId="2CB8406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合计</w:t>
            </w:r>
          </w:p>
        </w:tc>
        <w:tc>
          <w:tcPr>
            <w:tcW w:w="753" w:type="dxa"/>
            <w:noWrap w:val="0"/>
            <w:vAlign w:val="center"/>
          </w:tcPr>
          <w:p w14:paraId="06A80C0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78700</w:t>
            </w:r>
          </w:p>
        </w:tc>
        <w:tc>
          <w:tcPr>
            <w:tcW w:w="620" w:type="dxa"/>
            <w:noWrap w:val="0"/>
            <w:vAlign w:val="center"/>
          </w:tcPr>
          <w:p w14:paraId="46A305D2">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cs="宋体"/>
                <w:color w:val="auto"/>
                <w:kern w:val="0"/>
                <w:sz w:val="21"/>
                <w:szCs w:val="21"/>
                <w:lang w:val="en-US" w:eastAsia="zh-CN"/>
              </w:rPr>
            </w:pPr>
          </w:p>
        </w:tc>
        <w:tc>
          <w:tcPr>
            <w:tcW w:w="620" w:type="dxa"/>
            <w:noWrap w:val="0"/>
            <w:vAlign w:val="center"/>
          </w:tcPr>
          <w:p w14:paraId="57748DCE">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jc w:val="center"/>
              <w:textAlignment w:val="auto"/>
              <w:rPr>
                <w:rFonts w:hint="eastAsia" w:ascii="宋体" w:hAnsi="宋体" w:cs="宋体"/>
                <w:color w:val="auto"/>
                <w:kern w:val="0"/>
                <w:sz w:val="21"/>
                <w:szCs w:val="21"/>
                <w:lang w:val="en-US" w:eastAsia="zh-CN"/>
              </w:rPr>
            </w:pPr>
          </w:p>
        </w:tc>
        <w:tc>
          <w:tcPr>
            <w:tcW w:w="620" w:type="dxa"/>
            <w:noWrap w:val="0"/>
            <w:vAlign w:val="center"/>
          </w:tcPr>
          <w:p w14:paraId="11A617A1">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c>
          <w:tcPr>
            <w:tcW w:w="620" w:type="dxa"/>
            <w:noWrap w:val="0"/>
            <w:vAlign w:val="center"/>
          </w:tcPr>
          <w:p w14:paraId="136580F2">
            <w:pPr>
              <w:keepNext w:val="0"/>
              <w:keepLines w:val="0"/>
              <w:pageBreakBefore w:val="0"/>
              <w:widowControl w:val="0"/>
              <w:kinsoku/>
              <w:wordWrap/>
              <w:overflowPunct/>
              <w:topLinePunct w:val="0"/>
              <w:autoSpaceDE/>
              <w:autoSpaceDN/>
              <w:bidi w:val="0"/>
              <w:adjustRightInd/>
              <w:snapToGrid/>
              <w:spacing w:line="280" w:lineRule="exact"/>
              <w:ind w:left="-63" w:leftChars="-30" w:right="-63" w:rightChars="-30"/>
              <w:jc w:val="center"/>
              <w:textAlignment w:val="auto"/>
              <w:rPr>
                <w:rFonts w:hint="eastAsia" w:ascii="宋体" w:hAnsi="宋体" w:cs="宋体"/>
                <w:color w:val="auto"/>
                <w:kern w:val="0"/>
                <w:sz w:val="21"/>
                <w:szCs w:val="21"/>
              </w:rPr>
            </w:pPr>
          </w:p>
        </w:tc>
      </w:tr>
    </w:tbl>
    <w:p w14:paraId="1A576BC1">
      <w:pPr>
        <w:keepNext w:val="0"/>
        <w:keepLines w:val="0"/>
        <w:pageBreakBefore w:val="0"/>
        <w:widowControl/>
        <w:kinsoku/>
        <w:wordWrap/>
        <w:overflowPunct/>
        <w:topLinePunct w:val="0"/>
        <w:autoSpaceDE w:val="0"/>
        <w:autoSpaceDN/>
        <w:bidi w:val="0"/>
        <w:adjustRightInd/>
        <w:snapToGrid/>
        <w:spacing w:before="157" w:beforeLines="50" w:after="157" w:afterLines="50" w:line="400" w:lineRule="exact"/>
        <w:jc w:val="center"/>
        <w:textAlignment w:val="auto"/>
        <w:rPr>
          <w:rFonts w:hint="eastAsia"/>
          <w:b w:val="0"/>
          <w:bCs/>
          <w:color w:val="auto"/>
          <w:sz w:val="32"/>
          <w:szCs w:val="32"/>
          <w:lang w:val="en-US" w:eastAsia="zh-CN"/>
        </w:rPr>
      </w:pPr>
      <w:r>
        <w:rPr>
          <w:rFonts w:hint="eastAsia"/>
          <w:b/>
          <w:color w:val="auto"/>
          <w:sz w:val="36"/>
          <w:szCs w:val="36"/>
          <w:lang w:val="en-US" w:eastAsia="zh-CN"/>
        </w:rPr>
        <w:t>法兰克数控铣床四轴改造项目设备清单及报价单</w:t>
      </w:r>
    </w:p>
    <w:tbl>
      <w:tblPr>
        <w:tblStyle w:val="6"/>
        <w:tblW w:w="9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
        <w:gridCol w:w="748"/>
        <w:gridCol w:w="3108"/>
        <w:gridCol w:w="514"/>
        <w:gridCol w:w="538"/>
        <w:gridCol w:w="780"/>
        <w:gridCol w:w="761"/>
        <w:gridCol w:w="654"/>
        <w:gridCol w:w="654"/>
        <w:gridCol w:w="654"/>
        <w:gridCol w:w="654"/>
      </w:tblGrid>
      <w:tr w14:paraId="7518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blHeader/>
          <w:jc w:val="center"/>
        </w:trPr>
        <w:tc>
          <w:tcPr>
            <w:tcW w:w="368" w:type="dxa"/>
            <w:noWrap w:val="0"/>
            <w:vAlign w:val="center"/>
          </w:tcPr>
          <w:p w14:paraId="38EDC4ED">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b/>
                <w:bCs/>
                <w:color w:val="auto"/>
                <w:sz w:val="21"/>
                <w:szCs w:val="21"/>
              </w:rPr>
            </w:pPr>
            <w:r>
              <w:rPr>
                <w:rFonts w:hint="eastAsia"/>
                <w:b/>
                <w:bCs/>
                <w:color w:val="auto"/>
                <w:sz w:val="21"/>
                <w:szCs w:val="21"/>
              </w:rPr>
              <w:t>序号</w:t>
            </w:r>
          </w:p>
        </w:tc>
        <w:tc>
          <w:tcPr>
            <w:tcW w:w="748" w:type="dxa"/>
            <w:noWrap w:val="0"/>
            <w:vAlign w:val="center"/>
          </w:tcPr>
          <w:p w14:paraId="0392686A">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b/>
                <w:bCs/>
                <w:color w:val="auto"/>
                <w:sz w:val="21"/>
                <w:szCs w:val="21"/>
              </w:rPr>
            </w:pPr>
            <w:r>
              <w:rPr>
                <w:rFonts w:hint="eastAsia"/>
                <w:b/>
                <w:bCs/>
                <w:color w:val="auto"/>
                <w:sz w:val="21"/>
                <w:szCs w:val="21"/>
              </w:rPr>
              <w:t>仪器、设备</w:t>
            </w:r>
          </w:p>
          <w:p w14:paraId="0A421701">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b/>
                <w:bCs/>
                <w:color w:val="auto"/>
                <w:sz w:val="21"/>
                <w:szCs w:val="21"/>
              </w:rPr>
            </w:pPr>
            <w:r>
              <w:rPr>
                <w:rFonts w:hint="eastAsia"/>
                <w:b/>
                <w:bCs/>
                <w:color w:val="auto"/>
                <w:sz w:val="21"/>
                <w:szCs w:val="21"/>
              </w:rPr>
              <w:t>名称</w:t>
            </w:r>
          </w:p>
        </w:tc>
        <w:tc>
          <w:tcPr>
            <w:tcW w:w="3108" w:type="dxa"/>
            <w:noWrap w:val="0"/>
            <w:vAlign w:val="center"/>
          </w:tcPr>
          <w:p w14:paraId="781B5B4F">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b/>
                <w:bCs/>
                <w:color w:val="auto"/>
                <w:sz w:val="21"/>
                <w:szCs w:val="21"/>
              </w:rPr>
            </w:pPr>
            <w:r>
              <w:rPr>
                <w:rFonts w:hint="eastAsia"/>
                <w:b/>
                <w:bCs/>
                <w:color w:val="auto"/>
                <w:sz w:val="21"/>
                <w:szCs w:val="21"/>
              </w:rPr>
              <w:t>规格、技术参数</w:t>
            </w:r>
          </w:p>
        </w:tc>
        <w:tc>
          <w:tcPr>
            <w:tcW w:w="514" w:type="dxa"/>
            <w:noWrap w:val="0"/>
            <w:vAlign w:val="center"/>
          </w:tcPr>
          <w:p w14:paraId="1F6BC2ED">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b/>
                <w:bCs/>
                <w:color w:val="auto"/>
                <w:sz w:val="21"/>
                <w:szCs w:val="21"/>
              </w:rPr>
            </w:pPr>
            <w:r>
              <w:rPr>
                <w:rFonts w:hint="eastAsia"/>
                <w:b/>
                <w:bCs/>
                <w:color w:val="auto"/>
                <w:sz w:val="21"/>
                <w:szCs w:val="21"/>
              </w:rPr>
              <w:t>数量</w:t>
            </w:r>
          </w:p>
        </w:tc>
        <w:tc>
          <w:tcPr>
            <w:tcW w:w="538" w:type="dxa"/>
            <w:noWrap w:val="0"/>
            <w:vAlign w:val="center"/>
          </w:tcPr>
          <w:p w14:paraId="268936B6">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b/>
                <w:bCs/>
                <w:color w:val="auto"/>
                <w:sz w:val="21"/>
                <w:szCs w:val="21"/>
              </w:rPr>
            </w:pPr>
            <w:r>
              <w:rPr>
                <w:rFonts w:hint="eastAsia"/>
                <w:b/>
                <w:bCs/>
                <w:color w:val="auto"/>
                <w:sz w:val="21"/>
                <w:szCs w:val="21"/>
              </w:rPr>
              <w:t>单位</w:t>
            </w:r>
          </w:p>
        </w:tc>
        <w:tc>
          <w:tcPr>
            <w:tcW w:w="780" w:type="dxa"/>
            <w:noWrap w:val="0"/>
            <w:vAlign w:val="center"/>
          </w:tcPr>
          <w:p w14:paraId="65AB155A">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b/>
                <w:bCs/>
                <w:color w:val="auto"/>
                <w:sz w:val="21"/>
                <w:szCs w:val="21"/>
              </w:rPr>
            </w:pPr>
            <w:r>
              <w:rPr>
                <w:rFonts w:hint="eastAsia"/>
                <w:b/>
                <w:bCs/>
                <w:color w:val="auto"/>
                <w:sz w:val="21"/>
                <w:szCs w:val="21"/>
                <w:lang w:eastAsia="zh-CN"/>
              </w:rPr>
              <w:t>控制</w:t>
            </w:r>
            <w:r>
              <w:rPr>
                <w:rFonts w:hint="eastAsia"/>
                <w:b/>
                <w:bCs/>
                <w:color w:val="auto"/>
                <w:sz w:val="21"/>
                <w:szCs w:val="21"/>
              </w:rPr>
              <w:t>单价</w:t>
            </w:r>
          </w:p>
        </w:tc>
        <w:tc>
          <w:tcPr>
            <w:tcW w:w="761" w:type="dxa"/>
            <w:noWrap w:val="0"/>
            <w:vAlign w:val="center"/>
          </w:tcPr>
          <w:p w14:paraId="0497F70B">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eastAsia="宋体"/>
                <w:b/>
                <w:bCs/>
                <w:color w:val="auto"/>
                <w:sz w:val="21"/>
                <w:szCs w:val="21"/>
                <w:lang w:eastAsia="zh-CN"/>
              </w:rPr>
            </w:pPr>
            <w:r>
              <w:rPr>
                <w:rFonts w:hint="eastAsia"/>
                <w:b/>
                <w:bCs/>
                <w:color w:val="auto"/>
                <w:sz w:val="21"/>
                <w:szCs w:val="21"/>
                <w:lang w:eastAsia="zh-CN"/>
              </w:rPr>
              <w:t>控制总价</w:t>
            </w:r>
          </w:p>
        </w:tc>
        <w:tc>
          <w:tcPr>
            <w:tcW w:w="654" w:type="dxa"/>
            <w:noWrap w:val="0"/>
            <w:vAlign w:val="center"/>
          </w:tcPr>
          <w:p w14:paraId="5ED69C4F">
            <w:pPr>
              <w:keepNext w:val="0"/>
              <w:keepLines w:val="0"/>
              <w:pageBreakBefore w:val="0"/>
              <w:kinsoku/>
              <w:wordWrap/>
              <w:overflowPunct/>
              <w:topLinePunct w:val="0"/>
              <w:autoSpaceDE/>
              <w:autoSpaceDN/>
              <w:bidi w:val="0"/>
              <w:adjustRightInd/>
              <w:snapToGrid/>
              <w:spacing w:line="320" w:lineRule="exact"/>
              <w:ind w:left="-63" w:leftChars="-30" w:right="-63" w:rightChars="-30"/>
              <w:jc w:val="both"/>
              <w:rPr>
                <w:rFonts w:hint="eastAsia" w:eastAsia="宋体"/>
                <w:b/>
                <w:bCs/>
                <w:color w:val="auto"/>
                <w:sz w:val="21"/>
                <w:szCs w:val="21"/>
                <w:lang w:eastAsia="zh-CN"/>
              </w:rPr>
            </w:pPr>
            <w:r>
              <w:rPr>
                <w:rFonts w:hint="eastAsia"/>
                <w:b/>
                <w:bCs/>
                <w:color w:val="auto"/>
                <w:sz w:val="21"/>
                <w:szCs w:val="21"/>
                <w:lang w:eastAsia="zh-CN"/>
              </w:rPr>
              <w:t>报价单价</w:t>
            </w:r>
          </w:p>
        </w:tc>
        <w:tc>
          <w:tcPr>
            <w:tcW w:w="654" w:type="dxa"/>
            <w:noWrap w:val="0"/>
            <w:vAlign w:val="center"/>
          </w:tcPr>
          <w:p w14:paraId="6C09EEE6">
            <w:pPr>
              <w:keepNext w:val="0"/>
              <w:keepLines w:val="0"/>
              <w:pageBreakBefore w:val="0"/>
              <w:kinsoku/>
              <w:wordWrap/>
              <w:overflowPunct/>
              <w:topLinePunct w:val="0"/>
              <w:autoSpaceDE/>
              <w:autoSpaceDN/>
              <w:bidi w:val="0"/>
              <w:adjustRightInd/>
              <w:snapToGrid/>
              <w:spacing w:line="320" w:lineRule="exact"/>
              <w:ind w:right="-63" w:rightChars="-30"/>
              <w:jc w:val="both"/>
              <w:rPr>
                <w:rFonts w:hint="eastAsia"/>
                <w:b/>
                <w:bCs/>
                <w:color w:val="auto"/>
                <w:sz w:val="21"/>
                <w:szCs w:val="21"/>
                <w:lang w:eastAsia="zh-CN"/>
              </w:rPr>
            </w:pPr>
            <w:r>
              <w:rPr>
                <w:rFonts w:hint="eastAsia"/>
                <w:b/>
                <w:bCs/>
                <w:color w:val="auto"/>
                <w:sz w:val="21"/>
                <w:szCs w:val="21"/>
                <w:lang w:eastAsia="zh-CN"/>
              </w:rPr>
              <w:t>报价总价</w:t>
            </w:r>
          </w:p>
        </w:tc>
        <w:tc>
          <w:tcPr>
            <w:tcW w:w="654" w:type="dxa"/>
            <w:noWrap w:val="0"/>
            <w:vAlign w:val="center"/>
          </w:tcPr>
          <w:p w14:paraId="212676CD">
            <w:pPr>
              <w:keepNext w:val="0"/>
              <w:keepLines w:val="0"/>
              <w:pageBreakBefore w:val="0"/>
              <w:kinsoku/>
              <w:wordWrap/>
              <w:overflowPunct/>
              <w:topLinePunct w:val="0"/>
              <w:autoSpaceDE/>
              <w:autoSpaceDN/>
              <w:bidi w:val="0"/>
              <w:adjustRightInd/>
              <w:snapToGrid/>
              <w:spacing w:line="320" w:lineRule="exact"/>
              <w:ind w:right="-63" w:rightChars="-30"/>
              <w:jc w:val="both"/>
              <w:rPr>
                <w:rFonts w:hint="eastAsia"/>
                <w:b/>
                <w:bCs/>
                <w:color w:val="auto"/>
                <w:sz w:val="21"/>
                <w:szCs w:val="21"/>
                <w:lang w:eastAsia="zh-CN"/>
              </w:rPr>
            </w:pPr>
            <w:r>
              <w:rPr>
                <w:rFonts w:hint="eastAsia"/>
                <w:b/>
                <w:bCs/>
                <w:color w:val="auto"/>
                <w:sz w:val="21"/>
                <w:szCs w:val="21"/>
                <w:lang w:eastAsia="zh-CN"/>
              </w:rPr>
              <w:t>品牌、产地</w:t>
            </w:r>
          </w:p>
        </w:tc>
        <w:tc>
          <w:tcPr>
            <w:tcW w:w="654" w:type="dxa"/>
            <w:noWrap w:val="0"/>
            <w:vAlign w:val="center"/>
          </w:tcPr>
          <w:p w14:paraId="4C4BADD3">
            <w:pPr>
              <w:keepNext w:val="0"/>
              <w:keepLines w:val="0"/>
              <w:pageBreakBefore w:val="0"/>
              <w:kinsoku/>
              <w:wordWrap/>
              <w:overflowPunct/>
              <w:topLinePunct w:val="0"/>
              <w:autoSpaceDE/>
              <w:autoSpaceDN/>
              <w:bidi w:val="0"/>
              <w:adjustRightInd/>
              <w:snapToGrid/>
              <w:spacing w:line="320" w:lineRule="exact"/>
              <w:ind w:right="-63" w:rightChars="-30"/>
              <w:jc w:val="both"/>
              <w:rPr>
                <w:rFonts w:hint="eastAsia"/>
                <w:b/>
                <w:bCs/>
                <w:color w:val="auto"/>
                <w:sz w:val="21"/>
                <w:szCs w:val="21"/>
                <w:lang w:eastAsia="zh-CN"/>
              </w:rPr>
            </w:pPr>
            <w:r>
              <w:rPr>
                <w:rFonts w:hint="eastAsia"/>
                <w:b/>
                <w:bCs/>
                <w:color w:val="auto"/>
                <w:sz w:val="21"/>
                <w:szCs w:val="21"/>
                <w:lang w:eastAsia="zh-CN"/>
              </w:rPr>
              <w:t>型号、规格</w:t>
            </w:r>
          </w:p>
        </w:tc>
      </w:tr>
      <w:tr w14:paraId="7C29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jc w:val="center"/>
        </w:trPr>
        <w:tc>
          <w:tcPr>
            <w:tcW w:w="368" w:type="dxa"/>
            <w:noWrap w:val="0"/>
            <w:vAlign w:val="center"/>
          </w:tcPr>
          <w:p w14:paraId="52318A0A">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ascii="宋体" w:hAnsi="宋体" w:cs="宋体"/>
                <w:color w:val="auto"/>
                <w:kern w:val="0"/>
                <w:sz w:val="21"/>
                <w:szCs w:val="21"/>
              </w:rPr>
            </w:pPr>
            <w:r>
              <w:rPr>
                <w:rFonts w:hint="eastAsia" w:ascii="宋体" w:hAnsi="宋体" w:cs="宋体"/>
                <w:color w:val="auto"/>
                <w:kern w:val="0"/>
                <w:sz w:val="21"/>
                <w:szCs w:val="21"/>
              </w:rPr>
              <w:t>1</w:t>
            </w:r>
          </w:p>
        </w:tc>
        <w:tc>
          <w:tcPr>
            <w:tcW w:w="748" w:type="dxa"/>
            <w:noWrap w:val="0"/>
            <w:vAlign w:val="center"/>
          </w:tcPr>
          <w:p w14:paraId="5210E62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FANUC四轴轴卡</w:t>
            </w:r>
          </w:p>
        </w:tc>
        <w:tc>
          <w:tcPr>
            <w:tcW w:w="3108" w:type="dxa"/>
            <w:noWrap w:val="0"/>
            <w:vAlign w:val="center"/>
          </w:tcPr>
          <w:p w14:paraId="1BEFF6A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伺服驱动器增加FANUC四轴轴卡，重新焊接接口定义，开放四轴硬件权限。</w:t>
            </w:r>
          </w:p>
        </w:tc>
        <w:tc>
          <w:tcPr>
            <w:tcW w:w="514" w:type="dxa"/>
            <w:noWrap w:val="0"/>
            <w:vAlign w:val="center"/>
          </w:tcPr>
          <w:p w14:paraId="15AFF8FD">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538" w:type="dxa"/>
            <w:noWrap w:val="0"/>
            <w:vAlign w:val="center"/>
          </w:tcPr>
          <w:p w14:paraId="1702BBC3">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套</w:t>
            </w:r>
          </w:p>
        </w:tc>
        <w:tc>
          <w:tcPr>
            <w:tcW w:w="780" w:type="dxa"/>
            <w:noWrap w:val="0"/>
            <w:vAlign w:val="center"/>
          </w:tcPr>
          <w:p w14:paraId="3175F2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ascii="宋体" w:hAnsi="宋体" w:cs="宋体"/>
                <w:color w:val="auto"/>
                <w:kern w:val="0"/>
                <w:sz w:val="21"/>
                <w:szCs w:val="21"/>
              </w:rPr>
            </w:pPr>
            <w:r>
              <w:rPr>
                <w:rFonts w:hint="eastAsia" w:ascii="宋体" w:hAnsi="宋体" w:eastAsia="宋体" w:cs="宋体"/>
                <w:color w:val="auto"/>
                <w:kern w:val="0"/>
                <w:sz w:val="21"/>
                <w:szCs w:val="21"/>
              </w:rPr>
              <w:t>17</w:t>
            </w:r>
            <w:r>
              <w:rPr>
                <w:rFonts w:hint="eastAsia" w:ascii="宋体" w:hAnsi="宋体" w:cs="宋体"/>
                <w:color w:val="auto"/>
                <w:kern w:val="0"/>
                <w:sz w:val="21"/>
                <w:szCs w:val="21"/>
                <w:lang w:val="en-US" w:eastAsia="zh-CN"/>
              </w:rPr>
              <w:t>200</w:t>
            </w:r>
          </w:p>
        </w:tc>
        <w:tc>
          <w:tcPr>
            <w:tcW w:w="761" w:type="dxa"/>
            <w:noWrap w:val="0"/>
            <w:vAlign w:val="center"/>
          </w:tcPr>
          <w:p w14:paraId="25A62D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Times New Roman" w:hAnsi="Times New Roman" w:eastAsia="宋体" w:cs="Times New Roman"/>
                <w:color w:val="auto"/>
                <w:sz w:val="21"/>
                <w:szCs w:val="21"/>
                <w:lang w:val="en-US" w:eastAsia="zh-CN"/>
              </w:rPr>
            </w:pPr>
            <w:r>
              <w:rPr>
                <w:rFonts w:hint="eastAsia" w:ascii="宋体" w:hAnsi="宋体" w:eastAsia="宋体" w:cs="宋体"/>
                <w:color w:val="auto"/>
                <w:kern w:val="0"/>
                <w:sz w:val="21"/>
                <w:szCs w:val="21"/>
              </w:rPr>
              <w:t>17</w:t>
            </w:r>
            <w:r>
              <w:rPr>
                <w:rFonts w:hint="eastAsia" w:ascii="宋体" w:hAnsi="宋体" w:cs="宋体"/>
                <w:color w:val="auto"/>
                <w:kern w:val="0"/>
                <w:sz w:val="21"/>
                <w:szCs w:val="21"/>
                <w:lang w:val="en-US" w:eastAsia="zh-CN"/>
              </w:rPr>
              <w:t>200</w:t>
            </w:r>
          </w:p>
        </w:tc>
        <w:tc>
          <w:tcPr>
            <w:tcW w:w="654" w:type="dxa"/>
            <w:noWrap w:val="0"/>
            <w:vAlign w:val="center"/>
          </w:tcPr>
          <w:p w14:paraId="331F4EF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p>
        </w:tc>
        <w:tc>
          <w:tcPr>
            <w:tcW w:w="654" w:type="dxa"/>
            <w:noWrap w:val="0"/>
            <w:vAlign w:val="center"/>
          </w:tcPr>
          <w:p w14:paraId="7FB6C608">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p>
        </w:tc>
        <w:tc>
          <w:tcPr>
            <w:tcW w:w="654" w:type="dxa"/>
            <w:noWrap w:val="0"/>
            <w:vAlign w:val="center"/>
          </w:tcPr>
          <w:p w14:paraId="78F796A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p>
        </w:tc>
        <w:tc>
          <w:tcPr>
            <w:tcW w:w="654" w:type="dxa"/>
            <w:noWrap w:val="0"/>
            <w:vAlign w:val="center"/>
          </w:tcPr>
          <w:p w14:paraId="1A858DF6">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default" w:ascii="Times New Roman" w:hAnsi="Times New Roman" w:eastAsia="宋体" w:cs="Times New Roman"/>
                <w:color w:val="auto"/>
                <w:sz w:val="21"/>
                <w:szCs w:val="21"/>
                <w:lang w:val="en-US" w:eastAsia="zh-CN"/>
              </w:rPr>
            </w:pPr>
          </w:p>
        </w:tc>
      </w:tr>
      <w:tr w14:paraId="18EE8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1" w:hRule="atLeast"/>
          <w:jc w:val="center"/>
        </w:trPr>
        <w:tc>
          <w:tcPr>
            <w:tcW w:w="368" w:type="dxa"/>
            <w:noWrap w:val="0"/>
            <w:vAlign w:val="center"/>
          </w:tcPr>
          <w:p w14:paraId="191D68EE">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w:t>
            </w:r>
          </w:p>
        </w:tc>
        <w:tc>
          <w:tcPr>
            <w:tcW w:w="748" w:type="dxa"/>
            <w:noWrap w:val="0"/>
            <w:vAlign w:val="center"/>
          </w:tcPr>
          <w:p w14:paraId="0198E57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四轴转台机械调整、检修</w:t>
            </w:r>
          </w:p>
        </w:tc>
        <w:tc>
          <w:tcPr>
            <w:tcW w:w="3108" w:type="dxa"/>
            <w:noWrap w:val="0"/>
            <w:vAlign w:val="center"/>
          </w:tcPr>
          <w:p w14:paraId="18A5243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现有四轴转台机械检修，调整机械间隙，更换润滑油、气管、接头等易损件，使转台转动无卡顿。</w:t>
            </w:r>
          </w:p>
        </w:tc>
        <w:tc>
          <w:tcPr>
            <w:tcW w:w="514" w:type="dxa"/>
            <w:noWrap w:val="0"/>
            <w:vAlign w:val="center"/>
          </w:tcPr>
          <w:p w14:paraId="287DB8E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38" w:type="dxa"/>
            <w:noWrap w:val="0"/>
            <w:vAlign w:val="center"/>
          </w:tcPr>
          <w:p w14:paraId="7E377E7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80" w:type="dxa"/>
            <w:noWrap w:val="0"/>
            <w:vAlign w:val="center"/>
          </w:tcPr>
          <w:p w14:paraId="1034E63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3000</w:t>
            </w:r>
          </w:p>
        </w:tc>
        <w:tc>
          <w:tcPr>
            <w:tcW w:w="761" w:type="dxa"/>
            <w:noWrap w:val="0"/>
            <w:vAlign w:val="center"/>
          </w:tcPr>
          <w:p w14:paraId="444D03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3000</w:t>
            </w:r>
          </w:p>
        </w:tc>
        <w:tc>
          <w:tcPr>
            <w:tcW w:w="654" w:type="dxa"/>
            <w:noWrap w:val="0"/>
            <w:vAlign w:val="center"/>
          </w:tcPr>
          <w:p w14:paraId="5F7A53CE">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60D61FF8">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6E73D8AC">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21FAF186">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r>
      <w:tr w14:paraId="28A94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3" w:hRule="atLeast"/>
          <w:jc w:val="center"/>
        </w:trPr>
        <w:tc>
          <w:tcPr>
            <w:tcW w:w="368" w:type="dxa"/>
            <w:noWrap w:val="0"/>
            <w:vAlign w:val="center"/>
          </w:tcPr>
          <w:p w14:paraId="5B508318">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748" w:type="dxa"/>
            <w:noWrap w:val="0"/>
            <w:vAlign w:val="center"/>
          </w:tcPr>
          <w:p w14:paraId="60CD21CA">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安装四轴双边桥板及尾座</w:t>
            </w:r>
          </w:p>
        </w:tc>
        <w:tc>
          <w:tcPr>
            <w:tcW w:w="3108" w:type="dxa"/>
            <w:noWrap w:val="0"/>
            <w:vAlign w:val="center"/>
          </w:tcPr>
          <w:p w14:paraId="5244443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1、四轴加工中心四轴桥板 1块，尺寸≥210mm*550mm*35mm；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 xml:space="preserve">2、四轴圆盘精密尾座，直径≥210L块1对； </w:t>
            </w:r>
          </w:p>
          <w:p w14:paraId="0197A50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3、四轴精密盘面1块,中心高≥160mm；注公差±0.01mm；</w:t>
            </w:r>
          </w:p>
          <w:p w14:paraId="3648C441">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配套螺丝机中环孔；</w:t>
            </w:r>
          </w:p>
        </w:tc>
        <w:tc>
          <w:tcPr>
            <w:tcW w:w="514" w:type="dxa"/>
            <w:noWrap w:val="0"/>
            <w:vAlign w:val="center"/>
          </w:tcPr>
          <w:p w14:paraId="09568169">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38" w:type="dxa"/>
            <w:noWrap w:val="0"/>
            <w:vAlign w:val="center"/>
          </w:tcPr>
          <w:p w14:paraId="31F5DE76">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80" w:type="dxa"/>
            <w:noWrap w:val="0"/>
            <w:vAlign w:val="center"/>
          </w:tcPr>
          <w:p w14:paraId="517D80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8800</w:t>
            </w:r>
          </w:p>
        </w:tc>
        <w:tc>
          <w:tcPr>
            <w:tcW w:w="761" w:type="dxa"/>
            <w:noWrap w:val="0"/>
            <w:vAlign w:val="center"/>
          </w:tcPr>
          <w:p w14:paraId="02A047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8800</w:t>
            </w:r>
          </w:p>
        </w:tc>
        <w:tc>
          <w:tcPr>
            <w:tcW w:w="654" w:type="dxa"/>
            <w:noWrap w:val="0"/>
            <w:vAlign w:val="center"/>
          </w:tcPr>
          <w:p w14:paraId="71629328">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392D1A23">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57C861BB">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6B136755">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r>
      <w:tr w14:paraId="5733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3" w:hRule="atLeast"/>
          <w:jc w:val="center"/>
        </w:trPr>
        <w:tc>
          <w:tcPr>
            <w:tcW w:w="368" w:type="dxa"/>
            <w:noWrap w:val="0"/>
            <w:vAlign w:val="center"/>
          </w:tcPr>
          <w:p w14:paraId="545E270E">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4</w:t>
            </w:r>
          </w:p>
        </w:tc>
        <w:tc>
          <w:tcPr>
            <w:tcW w:w="748" w:type="dxa"/>
            <w:noWrap w:val="0"/>
            <w:vAlign w:val="center"/>
          </w:tcPr>
          <w:p w14:paraId="48348B0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四轴尾座顶尖</w:t>
            </w:r>
          </w:p>
        </w:tc>
        <w:tc>
          <w:tcPr>
            <w:tcW w:w="3108" w:type="dxa"/>
            <w:noWrap w:val="0"/>
            <w:vAlign w:val="center"/>
          </w:tcPr>
          <w:p w14:paraId="5C6CD9F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高精密四轴专业尾座顶尖，尾座自由可伸缩调节，中心高≥160mm，</w:t>
            </w:r>
          </w:p>
        </w:tc>
        <w:tc>
          <w:tcPr>
            <w:tcW w:w="514" w:type="dxa"/>
            <w:noWrap w:val="0"/>
            <w:vAlign w:val="center"/>
          </w:tcPr>
          <w:p w14:paraId="5573D09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38" w:type="dxa"/>
            <w:noWrap w:val="0"/>
            <w:vAlign w:val="center"/>
          </w:tcPr>
          <w:p w14:paraId="735B928B">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80" w:type="dxa"/>
            <w:noWrap w:val="0"/>
            <w:vAlign w:val="center"/>
          </w:tcPr>
          <w:p w14:paraId="2D0308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3</w:t>
            </w:r>
            <w:r>
              <w:rPr>
                <w:rFonts w:hint="eastAsia" w:ascii="宋体" w:hAnsi="宋体" w:cs="宋体"/>
                <w:color w:val="auto"/>
                <w:kern w:val="0"/>
                <w:sz w:val="21"/>
                <w:szCs w:val="21"/>
                <w:lang w:val="en-US" w:eastAsia="zh-CN"/>
              </w:rPr>
              <w:t>600</w:t>
            </w:r>
          </w:p>
        </w:tc>
        <w:tc>
          <w:tcPr>
            <w:tcW w:w="761" w:type="dxa"/>
            <w:noWrap w:val="0"/>
            <w:vAlign w:val="center"/>
          </w:tcPr>
          <w:p w14:paraId="21E5DD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3</w:t>
            </w:r>
            <w:r>
              <w:rPr>
                <w:rFonts w:hint="eastAsia" w:ascii="宋体" w:hAnsi="宋体" w:cs="宋体"/>
                <w:color w:val="auto"/>
                <w:kern w:val="0"/>
                <w:sz w:val="21"/>
                <w:szCs w:val="21"/>
                <w:lang w:val="en-US" w:eastAsia="zh-CN"/>
              </w:rPr>
              <w:t>600</w:t>
            </w:r>
          </w:p>
        </w:tc>
        <w:tc>
          <w:tcPr>
            <w:tcW w:w="654" w:type="dxa"/>
            <w:noWrap w:val="0"/>
            <w:vAlign w:val="center"/>
          </w:tcPr>
          <w:p w14:paraId="38EDA72D">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366AE8FC">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76B695C2">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1CC89C55">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r>
      <w:tr w14:paraId="05B5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368" w:type="dxa"/>
            <w:noWrap w:val="0"/>
            <w:vAlign w:val="center"/>
          </w:tcPr>
          <w:p w14:paraId="08BB6DF9">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5</w:t>
            </w:r>
          </w:p>
        </w:tc>
        <w:tc>
          <w:tcPr>
            <w:tcW w:w="748" w:type="dxa"/>
            <w:noWrap w:val="0"/>
            <w:vAlign w:val="center"/>
          </w:tcPr>
          <w:p w14:paraId="344DE6FC">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自定心虎钳</w:t>
            </w:r>
          </w:p>
        </w:tc>
        <w:tc>
          <w:tcPr>
            <w:tcW w:w="3108" w:type="dxa"/>
            <w:noWrap w:val="0"/>
            <w:vAlign w:val="center"/>
          </w:tcPr>
          <w:p w14:paraId="26C84C4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1、整体精磨加硬，重复精度≤0.02mm，硬度HCR42；</w:t>
            </w:r>
          </w:p>
          <w:p w14:paraId="2C897AF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2、夹持范围≥6-195mm</w:t>
            </w:r>
          </w:p>
          <w:p w14:paraId="0C375599">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3、燕尾槽锯齿设计，稳定夹持，夹持力度大。钳口可调换使用，正反爪互换。</w:t>
            </w:r>
          </w:p>
        </w:tc>
        <w:tc>
          <w:tcPr>
            <w:tcW w:w="514" w:type="dxa"/>
            <w:noWrap w:val="0"/>
            <w:vAlign w:val="center"/>
          </w:tcPr>
          <w:p w14:paraId="2ED7BFD2">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38" w:type="dxa"/>
            <w:noWrap w:val="0"/>
            <w:vAlign w:val="center"/>
          </w:tcPr>
          <w:p w14:paraId="11CB0124">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80" w:type="dxa"/>
            <w:noWrap w:val="0"/>
            <w:vAlign w:val="center"/>
          </w:tcPr>
          <w:p w14:paraId="56B194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3</w:t>
            </w:r>
            <w:r>
              <w:rPr>
                <w:rFonts w:hint="eastAsia" w:ascii="宋体" w:hAnsi="宋体" w:cs="宋体"/>
                <w:color w:val="auto"/>
                <w:kern w:val="0"/>
                <w:sz w:val="21"/>
                <w:szCs w:val="21"/>
                <w:lang w:val="en-US" w:eastAsia="zh-CN"/>
              </w:rPr>
              <w:t>000</w:t>
            </w:r>
          </w:p>
        </w:tc>
        <w:tc>
          <w:tcPr>
            <w:tcW w:w="761" w:type="dxa"/>
            <w:noWrap w:val="0"/>
            <w:vAlign w:val="center"/>
          </w:tcPr>
          <w:p w14:paraId="63D9517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3</w:t>
            </w:r>
            <w:r>
              <w:rPr>
                <w:rFonts w:hint="eastAsia" w:ascii="宋体" w:hAnsi="宋体" w:cs="宋体"/>
                <w:color w:val="auto"/>
                <w:kern w:val="0"/>
                <w:sz w:val="21"/>
                <w:szCs w:val="21"/>
                <w:lang w:val="en-US" w:eastAsia="zh-CN"/>
              </w:rPr>
              <w:t>000</w:t>
            </w:r>
          </w:p>
        </w:tc>
        <w:tc>
          <w:tcPr>
            <w:tcW w:w="654" w:type="dxa"/>
            <w:noWrap w:val="0"/>
            <w:vAlign w:val="center"/>
          </w:tcPr>
          <w:p w14:paraId="6C80EE65">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01C62A13">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6F5364E7">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065234A4">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r>
      <w:tr w14:paraId="3AEE6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2" w:hRule="atLeast"/>
          <w:jc w:val="center"/>
        </w:trPr>
        <w:tc>
          <w:tcPr>
            <w:tcW w:w="368" w:type="dxa"/>
            <w:noWrap w:val="0"/>
            <w:vAlign w:val="center"/>
          </w:tcPr>
          <w:p w14:paraId="41DC6316">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748" w:type="dxa"/>
            <w:noWrap w:val="0"/>
            <w:vAlign w:val="center"/>
          </w:tcPr>
          <w:p w14:paraId="6A5A8D92">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系统软件升级，四轴联动调试</w:t>
            </w:r>
          </w:p>
        </w:tc>
        <w:tc>
          <w:tcPr>
            <w:tcW w:w="3108" w:type="dxa"/>
            <w:noWrap w:val="0"/>
            <w:vAlign w:val="center"/>
          </w:tcPr>
          <w:p w14:paraId="3762D7AA">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（1）四轴功能软件升级，调试系统参数，开放数控系统四轴软件权限，重新调试PLC信号，使机床四轴功能正常。</w:t>
            </w:r>
          </w:p>
          <w:p w14:paraId="77C23BE4">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（2）系统可以在CNC上直接编辑、运行存储卡内的程序综合操作和编程引导，操作更简单。</w:t>
            </w:r>
            <w:r>
              <w:rPr>
                <w:rFonts w:hint="eastAsia" w:ascii="宋体" w:hAnsi="宋体" w:cs="宋体"/>
                <w:color w:val="auto"/>
                <w:kern w:val="0"/>
                <w:sz w:val="21"/>
                <w:szCs w:val="21"/>
                <w:lang w:val="en-US" w:eastAsia="zh-CN"/>
              </w:rPr>
              <w:t>也可以通过网线直连电脑，进行程序传输及在线加工。</w:t>
            </w:r>
          </w:p>
          <w:p w14:paraId="4BBDC5B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(3）加工循环丰富的编程引导功能。</w:t>
            </w:r>
          </w:p>
          <w:p w14:paraId="06C61C9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(4）丰富的用户自定义功能支援对机床进行个性化设计强力支持启动调试CNC系统的各种调整功能。</w:t>
            </w:r>
          </w:p>
        </w:tc>
        <w:tc>
          <w:tcPr>
            <w:tcW w:w="514" w:type="dxa"/>
            <w:noWrap w:val="0"/>
            <w:vAlign w:val="center"/>
          </w:tcPr>
          <w:p w14:paraId="195C8271">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38" w:type="dxa"/>
            <w:noWrap w:val="0"/>
            <w:vAlign w:val="center"/>
          </w:tcPr>
          <w:p w14:paraId="7CC6E917">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80" w:type="dxa"/>
            <w:noWrap w:val="0"/>
            <w:vAlign w:val="center"/>
          </w:tcPr>
          <w:p w14:paraId="458CD1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4900</w:t>
            </w:r>
          </w:p>
        </w:tc>
        <w:tc>
          <w:tcPr>
            <w:tcW w:w="761" w:type="dxa"/>
            <w:noWrap w:val="0"/>
            <w:vAlign w:val="center"/>
          </w:tcPr>
          <w:p w14:paraId="4AE2C0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4900</w:t>
            </w:r>
          </w:p>
        </w:tc>
        <w:tc>
          <w:tcPr>
            <w:tcW w:w="654" w:type="dxa"/>
            <w:noWrap w:val="0"/>
            <w:vAlign w:val="center"/>
          </w:tcPr>
          <w:p w14:paraId="0F15F3DA">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37EE337A">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04841D2C">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1559348C">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r>
      <w:tr w14:paraId="62B7C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7" w:hRule="atLeast"/>
          <w:jc w:val="center"/>
        </w:trPr>
        <w:tc>
          <w:tcPr>
            <w:tcW w:w="368" w:type="dxa"/>
            <w:noWrap w:val="0"/>
            <w:vAlign w:val="center"/>
          </w:tcPr>
          <w:p w14:paraId="57A83E98">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7</w:t>
            </w:r>
          </w:p>
        </w:tc>
        <w:tc>
          <w:tcPr>
            <w:tcW w:w="748" w:type="dxa"/>
            <w:noWrap w:val="0"/>
            <w:vAlign w:val="center"/>
          </w:tcPr>
          <w:p w14:paraId="5102BE5E">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整机联调，试切加工</w:t>
            </w:r>
          </w:p>
        </w:tc>
        <w:tc>
          <w:tcPr>
            <w:tcW w:w="3108" w:type="dxa"/>
            <w:noWrap w:val="0"/>
            <w:vAlign w:val="center"/>
          </w:tcPr>
          <w:p w14:paraId="708D796A">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default" w:ascii="宋体" w:hAnsi="宋体" w:eastAsia="宋体" w:cs="宋体"/>
                <w:color w:val="auto"/>
                <w:kern w:val="0"/>
                <w:sz w:val="21"/>
                <w:szCs w:val="21"/>
                <w:lang w:val="en-US"/>
              </w:rPr>
            </w:pPr>
            <w:r>
              <w:rPr>
                <w:rFonts w:hint="eastAsia" w:ascii="宋体" w:hAnsi="宋体" w:eastAsia="宋体" w:cs="宋体"/>
                <w:color w:val="auto"/>
                <w:kern w:val="0"/>
                <w:sz w:val="21"/>
                <w:szCs w:val="21"/>
              </w:rPr>
              <w:t>整体机床调试，检修机床现有故障，更换损坏件，使四轴联动功能正常，做四轴联动加工测试。</w:t>
            </w:r>
          </w:p>
        </w:tc>
        <w:tc>
          <w:tcPr>
            <w:tcW w:w="514" w:type="dxa"/>
            <w:noWrap w:val="0"/>
            <w:vAlign w:val="center"/>
          </w:tcPr>
          <w:p w14:paraId="64DF4F81">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538" w:type="dxa"/>
            <w:noWrap w:val="0"/>
            <w:vAlign w:val="center"/>
          </w:tcPr>
          <w:p w14:paraId="3A11839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套</w:t>
            </w:r>
          </w:p>
        </w:tc>
        <w:tc>
          <w:tcPr>
            <w:tcW w:w="780" w:type="dxa"/>
            <w:noWrap w:val="0"/>
            <w:vAlign w:val="center"/>
          </w:tcPr>
          <w:p w14:paraId="379DAF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2500</w:t>
            </w:r>
          </w:p>
        </w:tc>
        <w:tc>
          <w:tcPr>
            <w:tcW w:w="761" w:type="dxa"/>
            <w:noWrap w:val="0"/>
            <w:vAlign w:val="center"/>
          </w:tcPr>
          <w:p w14:paraId="51783F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2500</w:t>
            </w:r>
          </w:p>
        </w:tc>
        <w:tc>
          <w:tcPr>
            <w:tcW w:w="654" w:type="dxa"/>
            <w:noWrap w:val="0"/>
            <w:vAlign w:val="center"/>
          </w:tcPr>
          <w:p w14:paraId="4AF1C9F5">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22B70194">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212322D3">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bookmarkStart w:id="0" w:name="_GoBack"/>
            <w:bookmarkEnd w:id="0"/>
          </w:p>
        </w:tc>
        <w:tc>
          <w:tcPr>
            <w:tcW w:w="654" w:type="dxa"/>
            <w:noWrap w:val="0"/>
            <w:vAlign w:val="center"/>
          </w:tcPr>
          <w:p w14:paraId="7EF6BCB2">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r>
      <w:tr w14:paraId="314D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6056" w:type="dxa"/>
            <w:gridSpan w:val="6"/>
            <w:noWrap w:val="0"/>
            <w:vAlign w:val="center"/>
          </w:tcPr>
          <w:p w14:paraId="054AF60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合计</w:t>
            </w:r>
          </w:p>
        </w:tc>
        <w:tc>
          <w:tcPr>
            <w:tcW w:w="761" w:type="dxa"/>
            <w:noWrap w:val="0"/>
            <w:vAlign w:val="center"/>
          </w:tcPr>
          <w:p w14:paraId="022D9B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43000</w:t>
            </w:r>
          </w:p>
        </w:tc>
        <w:tc>
          <w:tcPr>
            <w:tcW w:w="654" w:type="dxa"/>
            <w:noWrap w:val="0"/>
            <w:vAlign w:val="center"/>
          </w:tcPr>
          <w:p w14:paraId="74413401">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562FD495">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6F0A9211">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c>
          <w:tcPr>
            <w:tcW w:w="654" w:type="dxa"/>
            <w:noWrap w:val="0"/>
            <w:vAlign w:val="center"/>
          </w:tcPr>
          <w:p w14:paraId="3F4867BE">
            <w:pPr>
              <w:keepNext w:val="0"/>
              <w:keepLines w:val="0"/>
              <w:pageBreakBefore w:val="0"/>
              <w:kinsoku/>
              <w:wordWrap/>
              <w:overflowPunct/>
              <w:topLinePunct w:val="0"/>
              <w:autoSpaceDE/>
              <w:autoSpaceDN/>
              <w:bidi w:val="0"/>
              <w:adjustRightInd/>
              <w:snapToGrid/>
              <w:spacing w:line="320" w:lineRule="exact"/>
              <w:ind w:left="-63" w:leftChars="-30" w:right="-63" w:rightChars="-30"/>
              <w:jc w:val="center"/>
              <w:rPr>
                <w:rFonts w:hint="eastAsia" w:ascii="宋体" w:hAnsi="宋体" w:cs="宋体"/>
                <w:color w:val="auto"/>
                <w:kern w:val="0"/>
                <w:sz w:val="21"/>
                <w:szCs w:val="21"/>
              </w:rPr>
            </w:pPr>
          </w:p>
        </w:tc>
      </w:tr>
    </w:tbl>
    <w:p w14:paraId="5471FBE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625B8B"/>
    <w:rsid w:val="0CFE7F73"/>
    <w:rsid w:val="7CD641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Calibri" w:hAnsi="Calibri"/>
      <w:szCs w:val="22"/>
    </w:rPr>
  </w:style>
  <w:style w:type="paragraph" w:customStyle="1" w:styleId="3">
    <w:name w:val="Default"/>
    <w:next w:val="4"/>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4">
    <w:name w:val="Intense Quote"/>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5">
    <w:name w:val="footer"/>
    <w:basedOn w:val="1"/>
    <w:qFormat/>
    <w:uiPriority w:val="0"/>
    <w:pPr>
      <w:tabs>
        <w:tab w:val="center" w:pos="4153"/>
        <w:tab w:val="right" w:pos="8306"/>
      </w:tabs>
      <w:snapToGrid w:val="0"/>
      <w:jc w:val="left"/>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2887</Words>
  <Characters>3307</Characters>
  <Lines>0</Lines>
  <Paragraphs>0</Paragraphs>
  <TotalTime>20</TotalTime>
  <ScaleCrop>false</ScaleCrop>
  <LinksUpToDate>false</LinksUpToDate>
  <CharactersWithSpaces>3314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2026-09-20T03:37:00Z</dcterms:created>
  <dc:creator>Administrator</dc:creator>
  <cp:lastModifiedBy>lyh</cp:lastModifiedBy>
  <dcterms:modified xsi:type="dcterms:W3CDTF">2026-09-20T09:21:00Z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eyJoZGlkIjoiYmM2NmQ3OGUwYmJmZjlkNzJiYmQ0YTNlZmM3ODJhYTQiLCJ1c2VySWQiOiIzOTA5ODc0MDEifQ==</vt:lpwstr>
  </property>
  <property fmtid="{D5CDD505-2E9C-101B-9397-08002B2CF9AE}" pid="4" name="ICV">
    <vt:lpwstr>85F5CF6D8AF64966BBCEC36B8203411D_13</vt:lpwstr>
  </property>
</Properties>
</file>