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993A2E">
      <w:pPr>
        <w:pStyle w:val="2"/>
        <w:ind w:firstLine="2570" w:firstLineChars="800"/>
        <w:rPr>
          <w:rFonts w:ascii="宋体" w:hAnsi="宋体" w:cs="宋体"/>
          <w:sz w:val="32"/>
          <w:szCs w:val="32"/>
        </w:rPr>
      </w:pPr>
      <w:bookmarkStart w:id="0" w:name="_GoBack"/>
      <w:bookmarkEnd w:id="0"/>
      <w:r>
        <w:rPr>
          <w:rFonts w:hint="eastAsia" w:ascii="宋体" w:hAnsi="宋体" w:cs="宋体"/>
          <w:b/>
          <w:bCs/>
          <w:sz w:val="32"/>
          <w:szCs w:val="32"/>
        </w:rPr>
        <w:t>评审因素和标准</w:t>
      </w:r>
    </w:p>
    <w:tbl>
      <w:tblPr>
        <w:tblStyle w:val="5"/>
        <w:tblpPr w:leftFromText="180" w:rightFromText="180" w:vertAnchor="text" w:tblpX="-261" w:tblpY="77"/>
        <w:tblW w:w="57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9"/>
        <w:gridCol w:w="801"/>
        <w:gridCol w:w="747"/>
        <w:gridCol w:w="506"/>
        <w:gridCol w:w="7344"/>
      </w:tblGrid>
      <w:tr w14:paraId="3D51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164" w:type="pct"/>
            <w:shd w:val="clear" w:color="auto" w:fill="auto"/>
            <w:vAlign w:val="center"/>
          </w:tcPr>
          <w:p w14:paraId="6A7DEEF8">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1</w:t>
            </w:r>
          </w:p>
        </w:tc>
        <w:tc>
          <w:tcPr>
            <w:tcW w:w="412" w:type="pct"/>
            <w:shd w:val="clear" w:color="auto" w:fill="FFFFFF"/>
            <w:vAlign w:val="center"/>
          </w:tcPr>
          <w:p w14:paraId="5507930C">
            <w:pPr>
              <w:pStyle w:val="7"/>
              <w:snapToGrid w:val="0"/>
              <w:spacing w:line="360" w:lineRule="exact"/>
              <w:jc w:val="both"/>
              <w:rPr>
                <w:rFonts w:ascii="仿宋" w:hAnsi="仿宋" w:eastAsia="仿宋"/>
                <w:color w:val="000000"/>
              </w:rPr>
            </w:pPr>
            <w:r>
              <w:rPr>
                <w:rFonts w:hint="eastAsia" w:ascii="仿宋" w:hAnsi="仿宋" w:eastAsia="仿宋"/>
                <w:color w:val="000000"/>
                <w:kern w:val="2"/>
              </w:rPr>
              <w:t xml:space="preserve">报价 </w:t>
            </w:r>
            <w:r>
              <w:rPr>
                <w:rFonts w:ascii="仿宋" w:hAnsi="仿宋" w:eastAsia="仿宋"/>
                <w:color w:val="000000"/>
                <w:kern w:val="2"/>
              </w:rPr>
              <w:t xml:space="preserve"> 2</w:t>
            </w:r>
            <w:r>
              <w:rPr>
                <w:rFonts w:hint="eastAsia" w:ascii="仿宋" w:hAnsi="仿宋" w:eastAsia="仿宋"/>
                <w:color w:val="000000"/>
                <w:kern w:val="2"/>
                <w:lang w:val="en-US" w:eastAsia="zh-CN"/>
              </w:rPr>
              <w:t>5</w:t>
            </w:r>
            <w:r>
              <w:rPr>
                <w:rFonts w:hint="eastAsia" w:ascii="仿宋" w:hAnsi="仿宋" w:eastAsia="仿宋"/>
                <w:color w:val="000000"/>
                <w:kern w:val="2"/>
              </w:rPr>
              <w:t>分</w:t>
            </w:r>
          </w:p>
        </w:tc>
        <w:tc>
          <w:tcPr>
            <w:tcW w:w="384" w:type="pct"/>
            <w:shd w:val="clear" w:color="auto" w:fill="FFFFFF"/>
            <w:vAlign w:val="center"/>
          </w:tcPr>
          <w:p w14:paraId="3828145C">
            <w:pPr>
              <w:pStyle w:val="7"/>
              <w:snapToGrid w:val="0"/>
              <w:spacing w:line="360" w:lineRule="exact"/>
              <w:jc w:val="both"/>
              <w:rPr>
                <w:rFonts w:ascii="仿宋" w:hAnsi="仿宋" w:eastAsia="仿宋"/>
                <w:color w:val="000000"/>
                <w:kern w:val="2"/>
              </w:rPr>
            </w:pPr>
          </w:p>
        </w:tc>
        <w:tc>
          <w:tcPr>
            <w:tcW w:w="260" w:type="pct"/>
            <w:shd w:val="clear" w:color="auto" w:fill="FFFFFF"/>
            <w:vAlign w:val="center"/>
          </w:tcPr>
          <w:p w14:paraId="5709CD1F">
            <w:pPr>
              <w:snapToGrid w:val="0"/>
              <w:spacing w:line="360" w:lineRule="exact"/>
              <w:ind w:right="-103" w:rightChars="-49"/>
              <w:rPr>
                <w:rFonts w:hint="eastAsia" w:ascii="仿宋" w:hAnsi="仿宋" w:eastAsia="仿宋"/>
                <w:color w:val="000000"/>
                <w:sz w:val="24"/>
                <w:lang w:val="en-US" w:eastAsia="zh-CN"/>
              </w:rPr>
            </w:pPr>
            <w:r>
              <w:rPr>
                <w:rFonts w:hint="eastAsia" w:ascii="仿宋" w:hAnsi="仿宋" w:eastAsia="仿宋"/>
                <w:color w:val="000000"/>
                <w:sz w:val="24"/>
              </w:rPr>
              <w:t>2</w:t>
            </w:r>
            <w:r>
              <w:rPr>
                <w:rFonts w:hint="eastAsia" w:ascii="仿宋" w:hAnsi="仿宋" w:eastAsia="仿宋"/>
                <w:color w:val="000000"/>
                <w:sz w:val="24"/>
                <w:lang w:val="en-US" w:eastAsia="zh-CN"/>
              </w:rPr>
              <w:t>5</w:t>
            </w:r>
          </w:p>
          <w:p w14:paraId="311DCF45">
            <w:pPr>
              <w:snapToGrid w:val="0"/>
              <w:spacing w:line="360" w:lineRule="exact"/>
              <w:ind w:right="-103" w:rightChars="-49"/>
              <w:rPr>
                <w:rFonts w:ascii="仿宋" w:hAnsi="仿宋" w:eastAsia="仿宋"/>
                <w:color w:val="000000"/>
                <w:sz w:val="24"/>
              </w:rPr>
            </w:pPr>
            <w:r>
              <w:rPr>
                <w:rFonts w:hint="eastAsia" w:ascii="仿宋" w:hAnsi="仿宋" w:eastAsia="仿宋"/>
                <w:color w:val="000000"/>
                <w:sz w:val="24"/>
              </w:rPr>
              <w:t>分</w:t>
            </w:r>
          </w:p>
        </w:tc>
        <w:tc>
          <w:tcPr>
            <w:tcW w:w="3778" w:type="pct"/>
            <w:shd w:val="clear" w:color="auto" w:fill="FFFFFF"/>
            <w:vAlign w:val="center"/>
          </w:tcPr>
          <w:p w14:paraId="403D49F5">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lang w:val="en-US" w:eastAsia="zh-CN"/>
              </w:rPr>
            </w:pPr>
            <w:r>
              <w:rPr>
                <w:rFonts w:hint="eastAsia" w:ascii="仿宋" w:hAnsi="仿宋" w:eastAsia="仿宋"/>
                <w:color w:val="000000"/>
                <w:kern w:val="2"/>
              </w:rPr>
              <w:t>满足磋商文件要求且最后报价最低的供应商的价格为磋商基准价，其价格分为满分。其他供应商的价格分统一按照下列公式计算：磋商报价得分=（磋商基准价/最后磋商报价）×</w:t>
            </w:r>
            <w:r>
              <w:rPr>
                <w:rFonts w:ascii="仿宋" w:hAnsi="仿宋" w:eastAsia="仿宋"/>
                <w:color w:val="000000"/>
                <w:kern w:val="2"/>
              </w:rPr>
              <w:t>2</w:t>
            </w:r>
            <w:r>
              <w:rPr>
                <w:rFonts w:hint="eastAsia" w:ascii="仿宋" w:hAnsi="仿宋" w:eastAsia="仿宋"/>
                <w:color w:val="000000"/>
                <w:kern w:val="2"/>
                <w:lang w:val="en-US" w:eastAsia="zh-CN"/>
              </w:rPr>
              <w:t>5</w:t>
            </w:r>
          </w:p>
          <w:p w14:paraId="4461CAEA">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ascii="仿宋" w:hAnsi="仿宋" w:eastAsia="仿宋"/>
                <w:color w:val="000000"/>
                <w:kern w:val="2"/>
              </w:rPr>
            </w:pPr>
            <w:r>
              <w:rPr>
                <w:rFonts w:hint="eastAsia" w:ascii="仿宋" w:hAnsi="仿宋" w:eastAsia="仿宋"/>
                <w:color w:val="000000"/>
                <w:kern w:val="2"/>
              </w:rPr>
              <w:t>注:评标委员会认为投标人的报价明显低于其他通过符合性审查投标人的报价,有可能影响产品质量或者不能诚信履约的，应当要求其在评标现证明材料；投标人不能证明其报价合理性的，评标委员会应当将其作为无效投标处理。</w:t>
            </w:r>
          </w:p>
        </w:tc>
      </w:tr>
      <w:tr w14:paraId="080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restart"/>
            <w:shd w:val="clear" w:color="auto" w:fill="FFFFFF"/>
            <w:vAlign w:val="center"/>
          </w:tcPr>
          <w:p w14:paraId="5DBAF232">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2</w:t>
            </w:r>
          </w:p>
        </w:tc>
        <w:tc>
          <w:tcPr>
            <w:tcW w:w="412" w:type="pct"/>
            <w:vMerge w:val="restart"/>
            <w:shd w:val="clear" w:color="auto" w:fill="FFFFFF"/>
            <w:vAlign w:val="center"/>
          </w:tcPr>
          <w:p w14:paraId="783CE2A6">
            <w:pPr>
              <w:snapToGrid w:val="0"/>
              <w:spacing w:line="360" w:lineRule="exact"/>
              <w:rPr>
                <w:rFonts w:hint="eastAsia" w:ascii="仿宋" w:hAnsi="仿宋" w:eastAsia="仿宋"/>
                <w:color w:val="000000"/>
                <w:sz w:val="24"/>
              </w:rPr>
            </w:pPr>
            <w:r>
              <w:rPr>
                <w:rFonts w:hint="eastAsia" w:ascii="仿宋" w:hAnsi="仿宋" w:eastAsia="仿宋"/>
                <w:color w:val="000000"/>
                <w:sz w:val="24"/>
              </w:rPr>
              <w:t>技术</w:t>
            </w:r>
          </w:p>
          <w:p w14:paraId="34B7A477">
            <w:pPr>
              <w:snapToGrid w:val="0"/>
              <w:spacing w:line="360" w:lineRule="exact"/>
              <w:rPr>
                <w:rFonts w:hint="eastAsia" w:ascii="仿宋" w:hAnsi="仿宋" w:eastAsia="仿宋"/>
                <w:color w:val="000000"/>
                <w:sz w:val="24"/>
              </w:rPr>
            </w:pPr>
            <w:r>
              <w:rPr>
                <w:rFonts w:hint="eastAsia" w:ascii="仿宋" w:hAnsi="仿宋" w:eastAsia="仿宋"/>
                <w:color w:val="000000"/>
                <w:sz w:val="24"/>
              </w:rPr>
              <w:t>服务</w:t>
            </w:r>
          </w:p>
          <w:p w14:paraId="250A1E5E">
            <w:pPr>
              <w:snapToGrid w:val="0"/>
              <w:spacing w:line="360" w:lineRule="exact"/>
              <w:rPr>
                <w:rFonts w:hint="eastAsia" w:ascii="仿宋" w:hAnsi="仿宋" w:eastAsia="仿宋"/>
                <w:color w:val="000000"/>
                <w:sz w:val="24"/>
              </w:rPr>
            </w:pPr>
            <w:r>
              <w:rPr>
                <w:rFonts w:hint="eastAsia" w:ascii="仿宋" w:hAnsi="仿宋" w:eastAsia="仿宋"/>
                <w:color w:val="000000"/>
                <w:sz w:val="24"/>
                <w:lang w:val="en-US" w:eastAsia="zh-CN"/>
              </w:rPr>
              <w:t>35</w:t>
            </w:r>
            <w:r>
              <w:rPr>
                <w:rFonts w:hint="eastAsia" w:ascii="仿宋" w:hAnsi="仿宋" w:eastAsia="仿宋"/>
                <w:color w:val="000000"/>
                <w:sz w:val="24"/>
              </w:rPr>
              <w:t>分</w:t>
            </w:r>
          </w:p>
        </w:tc>
        <w:tc>
          <w:tcPr>
            <w:tcW w:w="384" w:type="pct"/>
            <w:shd w:val="clear" w:color="auto" w:fill="FFFFFF"/>
            <w:vAlign w:val="center"/>
          </w:tcPr>
          <w:p w14:paraId="63E1EBD0">
            <w:pPr>
              <w:snapToGrid w:val="0"/>
              <w:spacing w:line="360" w:lineRule="exact"/>
              <w:rPr>
                <w:rFonts w:hint="eastAsia" w:ascii="仿宋" w:hAnsi="仿宋" w:eastAsia="仿宋"/>
                <w:color w:val="000000"/>
                <w:sz w:val="24"/>
              </w:rPr>
            </w:pPr>
            <w:r>
              <w:rPr>
                <w:rFonts w:hint="eastAsia" w:ascii="仿宋" w:hAnsi="仿宋" w:eastAsia="仿宋"/>
                <w:color w:val="000000"/>
                <w:sz w:val="24"/>
              </w:rPr>
              <w:t>项目实施方案</w:t>
            </w:r>
          </w:p>
        </w:tc>
        <w:tc>
          <w:tcPr>
            <w:tcW w:w="260" w:type="pct"/>
            <w:shd w:val="clear" w:color="auto" w:fill="FFFFFF"/>
            <w:vAlign w:val="center"/>
          </w:tcPr>
          <w:p w14:paraId="7F55F4F5">
            <w:pPr>
              <w:snapToGrid w:val="0"/>
              <w:spacing w:line="360" w:lineRule="exact"/>
              <w:rPr>
                <w:rFonts w:ascii="仿宋" w:hAnsi="仿宋" w:eastAsia="仿宋"/>
                <w:color w:val="000000"/>
                <w:sz w:val="24"/>
              </w:rPr>
            </w:pPr>
            <w:r>
              <w:rPr>
                <w:rFonts w:hint="eastAsia" w:ascii="仿宋" w:hAnsi="仿宋" w:eastAsia="仿宋"/>
                <w:color w:val="000000"/>
                <w:sz w:val="24"/>
                <w:lang w:val="en-US" w:eastAsia="zh-CN"/>
              </w:rPr>
              <w:t>2</w:t>
            </w:r>
            <w:r>
              <w:rPr>
                <w:rFonts w:hint="eastAsia" w:ascii="仿宋" w:hAnsi="仿宋" w:eastAsia="仿宋"/>
                <w:color w:val="000000"/>
                <w:sz w:val="24"/>
              </w:rPr>
              <w:t>0分</w:t>
            </w:r>
          </w:p>
        </w:tc>
        <w:tc>
          <w:tcPr>
            <w:tcW w:w="3778" w:type="pct"/>
            <w:shd w:val="clear" w:color="auto" w:fill="FFFFFF"/>
            <w:vAlign w:val="center"/>
          </w:tcPr>
          <w:p w14:paraId="2D7CDE40">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投标人提供对该项目实施方案 (包括但不限于审计难点重点、审计内容、审计工作流程、审计措施、审计进度等方面) 进行综合评分。方案完善、措施明确、思路流程清晰的计</w:t>
            </w:r>
            <w:r>
              <w:rPr>
                <w:rFonts w:hint="eastAsia" w:ascii="仿宋" w:hAnsi="仿宋" w:eastAsia="仿宋"/>
                <w:color w:val="000000"/>
                <w:kern w:val="2"/>
                <w:lang w:val="en-US" w:eastAsia="zh-CN"/>
              </w:rPr>
              <w:t>2</w:t>
            </w:r>
            <w:r>
              <w:rPr>
                <w:rFonts w:hint="eastAsia" w:ascii="仿宋" w:hAnsi="仿宋" w:eastAsia="仿宋"/>
                <w:color w:val="000000"/>
                <w:kern w:val="2"/>
              </w:rPr>
              <w:t>0 分；缺漏项的每处扣</w:t>
            </w:r>
            <w:r>
              <w:rPr>
                <w:rFonts w:hint="eastAsia" w:ascii="仿宋" w:hAnsi="仿宋" w:eastAsia="仿宋"/>
                <w:color w:val="000000"/>
                <w:kern w:val="2"/>
                <w:lang w:val="en-US" w:eastAsia="zh-CN"/>
              </w:rPr>
              <w:t>4</w:t>
            </w:r>
            <w:r>
              <w:rPr>
                <w:rFonts w:hint="eastAsia" w:ascii="仿宋" w:hAnsi="仿宋" w:eastAsia="仿宋"/>
                <w:color w:val="000000"/>
                <w:kern w:val="2"/>
              </w:rPr>
              <w:t xml:space="preserve">分；欠完善详细、欠科学合理、欠实际的每处扣 </w:t>
            </w:r>
            <w:r>
              <w:rPr>
                <w:rFonts w:hint="eastAsia" w:ascii="仿宋" w:hAnsi="仿宋" w:eastAsia="仿宋"/>
                <w:color w:val="000000"/>
                <w:kern w:val="2"/>
                <w:lang w:val="en-US" w:eastAsia="zh-CN"/>
              </w:rPr>
              <w:t>2</w:t>
            </w:r>
            <w:r>
              <w:rPr>
                <w:rFonts w:hint="eastAsia" w:ascii="仿宋" w:hAnsi="仿宋" w:eastAsia="仿宋"/>
                <w:color w:val="000000"/>
                <w:kern w:val="2"/>
              </w:rPr>
              <w:t xml:space="preserve"> 分。未提供的不计分。</w:t>
            </w:r>
          </w:p>
        </w:tc>
      </w:tr>
      <w:tr w14:paraId="5886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continue"/>
            <w:shd w:val="clear" w:color="auto" w:fill="FFFFFF"/>
            <w:vAlign w:val="center"/>
          </w:tcPr>
          <w:p w14:paraId="519F0935">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11E26133">
            <w:pPr>
              <w:snapToGrid w:val="0"/>
              <w:spacing w:line="360" w:lineRule="exact"/>
              <w:rPr>
                <w:rFonts w:hint="eastAsia" w:ascii="仿宋" w:hAnsi="仿宋" w:eastAsia="仿宋"/>
                <w:color w:val="000000"/>
                <w:sz w:val="24"/>
              </w:rPr>
            </w:pPr>
          </w:p>
        </w:tc>
        <w:tc>
          <w:tcPr>
            <w:tcW w:w="384" w:type="pct"/>
            <w:shd w:val="clear" w:color="auto" w:fill="FFFFFF"/>
            <w:vAlign w:val="center"/>
          </w:tcPr>
          <w:p w14:paraId="7628D60F">
            <w:pPr>
              <w:snapToGrid w:val="0"/>
              <w:spacing w:line="360" w:lineRule="exact"/>
              <w:rPr>
                <w:rFonts w:hint="eastAsia" w:ascii="仿宋" w:hAnsi="仿宋" w:eastAsia="仿宋"/>
                <w:color w:val="000000"/>
                <w:sz w:val="24"/>
              </w:rPr>
            </w:pPr>
            <w:r>
              <w:rPr>
                <w:rFonts w:hint="eastAsia" w:ascii="仿宋" w:hAnsi="仿宋" w:eastAsia="仿宋"/>
                <w:color w:val="000000"/>
                <w:sz w:val="24"/>
              </w:rPr>
              <w:t>审计报告质量</w:t>
            </w:r>
          </w:p>
        </w:tc>
        <w:tc>
          <w:tcPr>
            <w:tcW w:w="260" w:type="pct"/>
            <w:shd w:val="clear" w:color="auto" w:fill="FFFFFF"/>
            <w:vAlign w:val="center"/>
          </w:tcPr>
          <w:p w14:paraId="248DCD6B">
            <w:pPr>
              <w:snapToGrid w:val="0"/>
              <w:spacing w:line="360" w:lineRule="exact"/>
              <w:rPr>
                <w:rFonts w:ascii="仿宋" w:hAnsi="仿宋" w:eastAsia="仿宋"/>
                <w:color w:val="000000"/>
                <w:sz w:val="24"/>
              </w:rPr>
            </w:pPr>
            <w:r>
              <w:rPr>
                <w:rFonts w:hint="eastAsia" w:ascii="仿宋" w:hAnsi="仿宋" w:eastAsia="仿宋"/>
                <w:color w:val="000000"/>
                <w:sz w:val="24"/>
                <w:lang w:val="en-US" w:eastAsia="zh-CN"/>
              </w:rPr>
              <w:t>5</w:t>
            </w:r>
            <w:r>
              <w:rPr>
                <w:rFonts w:hint="eastAsia" w:ascii="仿宋" w:hAnsi="仿宋" w:eastAsia="仿宋"/>
                <w:color w:val="000000"/>
                <w:sz w:val="24"/>
              </w:rPr>
              <w:t>分</w:t>
            </w:r>
          </w:p>
        </w:tc>
        <w:tc>
          <w:tcPr>
            <w:tcW w:w="3778" w:type="pct"/>
            <w:shd w:val="clear" w:color="auto" w:fill="FFFFFF"/>
            <w:vAlign w:val="center"/>
          </w:tcPr>
          <w:p w14:paraId="19B100F7">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投标人提供高校经济责任审计报告一份（基于保密要求，可隐藏被审计单位名称、数据、发现问题具体内容等相关信息），格式规范、要素齐全、贴合高校审计业务、责任界定清晰、审计建议合理的计 5 分；格式欠规范、关键要素缺失、业务贴合度不足、责任界定不清、审计建议空泛的每处扣1分，扣完本项得分为止。未提供的不计分。</w:t>
            </w:r>
          </w:p>
        </w:tc>
      </w:tr>
      <w:tr w14:paraId="2823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164" w:type="pct"/>
            <w:vMerge w:val="continue"/>
            <w:shd w:val="clear" w:color="auto" w:fill="FFFFFF"/>
            <w:vAlign w:val="center"/>
          </w:tcPr>
          <w:p w14:paraId="59E4DA49">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075FAD55">
            <w:pPr>
              <w:snapToGrid w:val="0"/>
              <w:spacing w:line="360" w:lineRule="exact"/>
              <w:rPr>
                <w:rFonts w:hint="eastAsia" w:ascii="仿宋" w:hAnsi="仿宋" w:eastAsia="仿宋"/>
                <w:color w:val="000000"/>
                <w:sz w:val="24"/>
              </w:rPr>
            </w:pPr>
          </w:p>
        </w:tc>
        <w:tc>
          <w:tcPr>
            <w:tcW w:w="384" w:type="pct"/>
            <w:shd w:val="clear" w:color="auto" w:fill="FFFFFF"/>
            <w:vAlign w:val="center"/>
          </w:tcPr>
          <w:p w14:paraId="5FC8FB3D">
            <w:pPr>
              <w:snapToGrid w:val="0"/>
              <w:spacing w:line="360" w:lineRule="exact"/>
              <w:rPr>
                <w:rFonts w:hint="eastAsia" w:ascii="仿宋" w:hAnsi="仿宋" w:eastAsia="仿宋"/>
                <w:color w:val="000000"/>
                <w:sz w:val="24"/>
              </w:rPr>
            </w:pPr>
            <w:r>
              <w:rPr>
                <w:rFonts w:hint="eastAsia" w:ascii="仿宋" w:hAnsi="仿宋" w:eastAsia="仿宋"/>
                <w:color w:val="000000"/>
                <w:sz w:val="24"/>
              </w:rPr>
              <w:t>内部控制制度</w:t>
            </w:r>
          </w:p>
        </w:tc>
        <w:tc>
          <w:tcPr>
            <w:tcW w:w="260" w:type="pct"/>
            <w:shd w:val="clear" w:color="auto" w:fill="FFFFFF"/>
            <w:vAlign w:val="center"/>
          </w:tcPr>
          <w:p w14:paraId="3C02585E">
            <w:pPr>
              <w:snapToGrid w:val="0"/>
              <w:spacing w:line="360" w:lineRule="exact"/>
              <w:rPr>
                <w:rFonts w:ascii="仿宋" w:hAnsi="仿宋" w:eastAsia="仿宋"/>
                <w:color w:val="000000"/>
                <w:sz w:val="24"/>
              </w:rPr>
            </w:pPr>
            <w:r>
              <w:rPr>
                <w:rFonts w:hint="eastAsia" w:ascii="仿宋" w:hAnsi="仿宋" w:eastAsia="仿宋"/>
                <w:color w:val="000000"/>
                <w:sz w:val="24"/>
              </w:rPr>
              <w:t>5分</w:t>
            </w:r>
          </w:p>
        </w:tc>
        <w:tc>
          <w:tcPr>
            <w:tcW w:w="3778" w:type="pct"/>
            <w:shd w:val="clear" w:color="auto" w:fill="FFFFFF"/>
            <w:vAlign w:val="center"/>
          </w:tcPr>
          <w:p w14:paraId="7E1D4621">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根据投标人提供的内控制度（包括但不限于审计质量控制制度、廉洁风险控制制度、财务管理制度、档案管理制度、保密管理制度等方面）进行综合评分。制度完善详细、科学合理、结合工作实际制的计 5分；缺漏项的每处扣1分；欠完善详细、欠科学合理、欠实际的每处扣 0.5分。未提供的不计分。</w:t>
            </w:r>
          </w:p>
        </w:tc>
      </w:tr>
      <w:tr w14:paraId="5DB9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64" w:type="pct"/>
            <w:vMerge w:val="continue"/>
            <w:shd w:val="clear" w:color="auto" w:fill="FFFFFF"/>
            <w:vAlign w:val="center"/>
          </w:tcPr>
          <w:p w14:paraId="6294DE22">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040E89AD">
            <w:pPr>
              <w:snapToGrid w:val="0"/>
              <w:spacing w:line="360" w:lineRule="exact"/>
              <w:rPr>
                <w:rFonts w:ascii="仿宋" w:hAnsi="仿宋" w:eastAsia="仿宋"/>
                <w:color w:val="000000"/>
                <w:sz w:val="24"/>
              </w:rPr>
            </w:pPr>
          </w:p>
        </w:tc>
        <w:tc>
          <w:tcPr>
            <w:tcW w:w="384" w:type="pct"/>
            <w:shd w:val="clear" w:color="auto" w:fill="FFFFFF"/>
            <w:vAlign w:val="center"/>
          </w:tcPr>
          <w:p w14:paraId="387C58B7">
            <w:pPr>
              <w:snapToGrid w:val="0"/>
              <w:spacing w:line="360" w:lineRule="exact"/>
              <w:rPr>
                <w:rFonts w:ascii="仿宋" w:hAnsi="仿宋" w:eastAsia="仿宋"/>
                <w:color w:val="000000"/>
                <w:sz w:val="24"/>
              </w:rPr>
            </w:pPr>
            <w:r>
              <w:rPr>
                <w:rFonts w:hint="eastAsia" w:ascii="仿宋" w:hAnsi="仿宋" w:eastAsia="仿宋"/>
                <w:color w:val="000000"/>
                <w:sz w:val="24"/>
              </w:rPr>
              <w:t>服务保障措施</w:t>
            </w:r>
          </w:p>
        </w:tc>
        <w:tc>
          <w:tcPr>
            <w:tcW w:w="260" w:type="pct"/>
            <w:shd w:val="clear" w:color="auto" w:fill="FFFFFF"/>
            <w:vAlign w:val="center"/>
          </w:tcPr>
          <w:p w14:paraId="0F28BE76">
            <w:pPr>
              <w:snapToGrid w:val="0"/>
              <w:spacing w:line="360" w:lineRule="exact"/>
              <w:rPr>
                <w:rFonts w:ascii="仿宋" w:hAnsi="仿宋" w:eastAsia="仿宋"/>
                <w:color w:val="000000"/>
                <w:sz w:val="24"/>
              </w:rPr>
            </w:pPr>
            <w:r>
              <w:rPr>
                <w:rFonts w:hint="eastAsia" w:ascii="仿宋" w:hAnsi="仿宋" w:eastAsia="仿宋"/>
                <w:color w:val="000000"/>
                <w:sz w:val="24"/>
              </w:rPr>
              <w:t>5分</w:t>
            </w:r>
          </w:p>
        </w:tc>
        <w:tc>
          <w:tcPr>
            <w:tcW w:w="3778" w:type="pct"/>
            <w:shd w:val="clear" w:color="auto" w:fill="FFFFFF"/>
            <w:vAlign w:val="center"/>
          </w:tcPr>
          <w:p w14:paraId="772ABA33">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根据投标人提供对该项目保障性措施进行综合评分。（包括不限于审计保障措施、未达到审计质量或未如期出具审计报告的补救方案与措施）。措施科学合理、分工明确、全面细致的，计5分；缺漏项的每处扣2.5分；欠完善详细、欠科学合理、欠实际的每处扣1分。未提供的不计分。</w:t>
            </w:r>
          </w:p>
        </w:tc>
      </w:tr>
      <w:tr w14:paraId="2E51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164" w:type="pct"/>
            <w:vMerge w:val="restart"/>
            <w:shd w:val="clear" w:color="auto" w:fill="FFFFFF"/>
            <w:vAlign w:val="center"/>
          </w:tcPr>
          <w:p w14:paraId="15373D0D">
            <w:pPr>
              <w:snapToGrid w:val="0"/>
              <w:spacing w:line="360" w:lineRule="exact"/>
              <w:rPr>
                <w:rFonts w:ascii="仿宋" w:hAnsi="仿宋" w:eastAsia="仿宋"/>
                <w:color w:val="000000"/>
                <w:sz w:val="28"/>
                <w:szCs w:val="28"/>
              </w:rPr>
            </w:pPr>
            <w:r>
              <w:rPr>
                <w:rFonts w:hint="eastAsia" w:ascii="仿宋" w:hAnsi="仿宋" w:eastAsia="仿宋"/>
                <w:color w:val="000000"/>
                <w:sz w:val="28"/>
                <w:szCs w:val="28"/>
              </w:rPr>
              <w:t>3</w:t>
            </w:r>
          </w:p>
        </w:tc>
        <w:tc>
          <w:tcPr>
            <w:tcW w:w="412" w:type="pct"/>
            <w:vMerge w:val="restart"/>
            <w:shd w:val="clear" w:color="auto" w:fill="FFFFFF"/>
            <w:vAlign w:val="center"/>
          </w:tcPr>
          <w:p w14:paraId="6A787279">
            <w:pPr>
              <w:snapToGrid w:val="0"/>
              <w:spacing w:line="360" w:lineRule="exact"/>
              <w:rPr>
                <w:rFonts w:ascii="仿宋" w:hAnsi="仿宋" w:eastAsia="仿宋"/>
                <w:color w:val="000000"/>
                <w:sz w:val="24"/>
              </w:rPr>
            </w:pPr>
            <w:r>
              <w:rPr>
                <w:rFonts w:hint="eastAsia" w:ascii="仿宋" w:hAnsi="仿宋" w:eastAsia="仿宋"/>
                <w:color w:val="000000"/>
                <w:sz w:val="24"/>
              </w:rPr>
              <w:t>商务服务40分</w:t>
            </w:r>
          </w:p>
        </w:tc>
        <w:tc>
          <w:tcPr>
            <w:tcW w:w="384" w:type="pct"/>
            <w:shd w:val="clear" w:color="auto" w:fill="FFFFFF"/>
            <w:vAlign w:val="center"/>
          </w:tcPr>
          <w:p w14:paraId="241A82C3">
            <w:pPr>
              <w:snapToGrid w:val="0"/>
              <w:spacing w:line="360" w:lineRule="exact"/>
              <w:rPr>
                <w:rFonts w:ascii="仿宋" w:hAnsi="仿宋" w:eastAsia="仿宋"/>
                <w:color w:val="000000"/>
                <w:sz w:val="24"/>
              </w:rPr>
            </w:pPr>
            <w:r>
              <w:rPr>
                <w:rFonts w:hint="eastAsia" w:ascii="仿宋" w:hAnsi="仿宋" w:eastAsia="仿宋"/>
                <w:color w:val="000000"/>
                <w:sz w:val="24"/>
              </w:rPr>
              <w:t>类似</w:t>
            </w:r>
          </w:p>
          <w:p w14:paraId="53122D19">
            <w:pPr>
              <w:snapToGrid w:val="0"/>
              <w:spacing w:line="360" w:lineRule="exact"/>
              <w:rPr>
                <w:rFonts w:ascii="仿宋" w:hAnsi="仿宋" w:eastAsia="仿宋"/>
                <w:color w:val="000000"/>
                <w:sz w:val="24"/>
              </w:rPr>
            </w:pPr>
            <w:r>
              <w:rPr>
                <w:rFonts w:hint="eastAsia" w:ascii="仿宋" w:hAnsi="仿宋" w:eastAsia="仿宋"/>
                <w:color w:val="000000"/>
                <w:sz w:val="24"/>
              </w:rPr>
              <w:t>业绩</w:t>
            </w:r>
          </w:p>
        </w:tc>
        <w:tc>
          <w:tcPr>
            <w:tcW w:w="260" w:type="pct"/>
            <w:shd w:val="clear" w:color="auto" w:fill="FFFFFF"/>
            <w:vAlign w:val="center"/>
          </w:tcPr>
          <w:p w14:paraId="5745E87C">
            <w:pPr>
              <w:snapToGrid w:val="0"/>
              <w:spacing w:line="360" w:lineRule="exact"/>
              <w:rPr>
                <w:rFonts w:ascii="仿宋" w:hAnsi="仿宋" w:eastAsia="仿宋"/>
                <w:color w:val="000000"/>
                <w:sz w:val="24"/>
              </w:rPr>
            </w:pPr>
            <w:r>
              <w:rPr>
                <w:rFonts w:hint="eastAsia" w:ascii="仿宋" w:hAnsi="仿宋" w:eastAsia="仿宋"/>
                <w:color w:val="000000"/>
                <w:sz w:val="24"/>
              </w:rPr>
              <w:t>2</w:t>
            </w:r>
            <w:r>
              <w:rPr>
                <w:rFonts w:hint="eastAsia" w:ascii="仿宋" w:hAnsi="仿宋" w:eastAsia="仿宋"/>
                <w:color w:val="000000"/>
                <w:sz w:val="24"/>
                <w:lang w:val="en-US" w:eastAsia="zh-CN"/>
              </w:rPr>
              <w:t>4</w:t>
            </w:r>
            <w:r>
              <w:rPr>
                <w:rFonts w:hint="eastAsia" w:ascii="仿宋" w:hAnsi="仿宋" w:eastAsia="仿宋"/>
                <w:color w:val="000000"/>
                <w:sz w:val="24"/>
              </w:rPr>
              <w:t>分</w:t>
            </w:r>
          </w:p>
        </w:tc>
        <w:tc>
          <w:tcPr>
            <w:tcW w:w="3778" w:type="pct"/>
            <w:shd w:val="clear" w:color="auto" w:fill="FFFFFF"/>
            <w:vAlign w:val="center"/>
          </w:tcPr>
          <w:p w14:paraId="69434C45">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投标人每提供一个202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月以来的高校经济责任审计业绩，</w:t>
            </w:r>
            <w:r>
              <w:rPr>
                <w:rFonts w:hint="eastAsia" w:ascii="仿宋" w:hAnsi="仿宋" w:eastAsia="仿宋"/>
                <w:color w:val="000000"/>
                <w:kern w:val="2"/>
                <w:lang w:eastAsia="zh-CN"/>
              </w:rPr>
              <w:t>每</w:t>
            </w:r>
            <w:r>
              <w:rPr>
                <w:rFonts w:hint="eastAsia" w:ascii="仿宋" w:hAnsi="仿宋" w:eastAsia="仿宋"/>
                <w:color w:val="000000"/>
                <w:kern w:val="2"/>
                <w:lang w:val="en-US" w:eastAsia="zh-CN"/>
              </w:rPr>
              <w:t>个</w:t>
            </w:r>
            <w:r>
              <w:rPr>
                <w:rFonts w:hint="eastAsia" w:ascii="仿宋" w:hAnsi="仿宋" w:eastAsia="仿宋"/>
                <w:color w:val="000000"/>
                <w:kern w:val="2"/>
              </w:rPr>
              <w:t>计6分；每提供一个202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月以来其他类型单位经济责任审计业绩，每</w:t>
            </w:r>
            <w:r>
              <w:rPr>
                <w:rFonts w:hint="eastAsia" w:ascii="仿宋" w:hAnsi="仿宋" w:eastAsia="仿宋"/>
                <w:color w:val="000000"/>
                <w:kern w:val="2"/>
                <w:lang w:val="en-US" w:eastAsia="zh-CN"/>
              </w:rPr>
              <w:t>个</w:t>
            </w:r>
            <w:r>
              <w:rPr>
                <w:rFonts w:hint="eastAsia" w:ascii="仿宋" w:hAnsi="仿宋" w:eastAsia="仿宋"/>
                <w:color w:val="000000"/>
                <w:kern w:val="2"/>
              </w:rPr>
              <w:t>计3分；其中202</w:t>
            </w:r>
            <w:r>
              <w:rPr>
                <w:rFonts w:hint="eastAsia" w:ascii="仿宋" w:hAnsi="仿宋" w:eastAsia="仿宋"/>
                <w:color w:val="000000"/>
                <w:kern w:val="2"/>
                <w:lang w:val="en-US" w:eastAsia="zh-CN"/>
              </w:rPr>
              <w:t>3</w:t>
            </w:r>
            <w:r>
              <w:rPr>
                <w:rFonts w:hint="eastAsia" w:ascii="仿宋" w:hAnsi="仿宋" w:eastAsia="仿宋"/>
                <w:color w:val="000000"/>
                <w:kern w:val="2"/>
              </w:rPr>
              <w:t>年</w:t>
            </w:r>
            <w:r>
              <w:rPr>
                <w:rFonts w:hint="eastAsia" w:ascii="仿宋" w:hAnsi="仿宋" w:eastAsia="仿宋"/>
                <w:color w:val="000000"/>
                <w:kern w:val="2"/>
                <w:lang w:val="en-US" w:eastAsia="zh-CN"/>
              </w:rPr>
              <w:t>9</w:t>
            </w:r>
            <w:r>
              <w:rPr>
                <w:rFonts w:hint="eastAsia" w:ascii="仿宋" w:hAnsi="仿宋" w:eastAsia="仿宋"/>
                <w:color w:val="000000"/>
                <w:kern w:val="2"/>
              </w:rPr>
              <w:t>月以来的高校经济责任审计业绩不得少于2个，业绩分最高计2</w:t>
            </w:r>
            <w:r>
              <w:rPr>
                <w:rFonts w:hint="eastAsia" w:ascii="仿宋" w:hAnsi="仿宋" w:eastAsia="仿宋"/>
                <w:color w:val="000000"/>
                <w:kern w:val="2"/>
                <w:lang w:val="en-US" w:eastAsia="zh-CN"/>
              </w:rPr>
              <w:t>4</w:t>
            </w:r>
            <w:r>
              <w:rPr>
                <w:rFonts w:hint="eastAsia" w:ascii="仿宋" w:hAnsi="仿宋" w:eastAsia="仿宋"/>
                <w:color w:val="000000"/>
                <w:kern w:val="2"/>
              </w:rPr>
              <w:t>分。（注：提供业绩合同和报告复印件并加盖公章，否则不予计分。）</w:t>
            </w:r>
          </w:p>
        </w:tc>
      </w:tr>
      <w:tr w14:paraId="42BA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64" w:type="pct"/>
            <w:vMerge w:val="continue"/>
            <w:shd w:val="clear" w:color="auto" w:fill="FFFFFF"/>
            <w:vAlign w:val="center"/>
          </w:tcPr>
          <w:p w14:paraId="06137D2A">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158C150E">
            <w:pPr>
              <w:snapToGrid w:val="0"/>
              <w:spacing w:line="360" w:lineRule="exact"/>
              <w:rPr>
                <w:rFonts w:ascii="仿宋" w:hAnsi="仿宋" w:eastAsia="仿宋"/>
                <w:color w:val="000000"/>
                <w:sz w:val="24"/>
              </w:rPr>
            </w:pPr>
          </w:p>
        </w:tc>
        <w:tc>
          <w:tcPr>
            <w:tcW w:w="384" w:type="pct"/>
            <w:shd w:val="clear" w:color="auto" w:fill="FFFFFF"/>
            <w:vAlign w:val="center"/>
          </w:tcPr>
          <w:p w14:paraId="20B705F0">
            <w:pPr>
              <w:snapToGrid w:val="0"/>
              <w:spacing w:line="360" w:lineRule="exact"/>
              <w:rPr>
                <w:rFonts w:ascii="仿宋" w:hAnsi="仿宋" w:eastAsia="仿宋"/>
                <w:color w:val="000000"/>
                <w:sz w:val="24"/>
              </w:rPr>
            </w:pPr>
            <w:r>
              <w:rPr>
                <w:rFonts w:hint="eastAsia" w:ascii="仿宋" w:hAnsi="仿宋" w:eastAsia="仿宋"/>
                <w:color w:val="000000"/>
                <w:sz w:val="24"/>
              </w:rPr>
              <w:t>人员</w:t>
            </w:r>
          </w:p>
          <w:p w14:paraId="5D6A1A0F">
            <w:pPr>
              <w:snapToGrid w:val="0"/>
              <w:spacing w:line="360" w:lineRule="exact"/>
              <w:rPr>
                <w:rFonts w:ascii="仿宋" w:hAnsi="仿宋" w:eastAsia="仿宋"/>
                <w:color w:val="000000"/>
                <w:sz w:val="24"/>
              </w:rPr>
            </w:pPr>
            <w:r>
              <w:rPr>
                <w:rFonts w:hint="eastAsia" w:ascii="仿宋" w:hAnsi="仿宋" w:eastAsia="仿宋"/>
                <w:color w:val="000000"/>
                <w:sz w:val="24"/>
              </w:rPr>
              <w:t>配备</w:t>
            </w:r>
          </w:p>
        </w:tc>
        <w:tc>
          <w:tcPr>
            <w:tcW w:w="260" w:type="pct"/>
            <w:shd w:val="clear" w:color="auto" w:fill="FFFFFF"/>
            <w:vAlign w:val="center"/>
          </w:tcPr>
          <w:p w14:paraId="555CF6C4">
            <w:pPr>
              <w:snapToGrid w:val="0"/>
              <w:spacing w:line="360" w:lineRule="exact"/>
              <w:rPr>
                <w:rFonts w:ascii="仿宋" w:hAnsi="仿宋" w:eastAsia="仿宋"/>
                <w:color w:val="000000"/>
                <w:sz w:val="24"/>
              </w:rPr>
            </w:pPr>
            <w:r>
              <w:rPr>
                <w:rFonts w:hint="eastAsia" w:ascii="仿宋" w:hAnsi="仿宋" w:eastAsia="仿宋"/>
                <w:color w:val="000000"/>
                <w:sz w:val="24"/>
              </w:rPr>
              <w:t>10分</w:t>
            </w:r>
          </w:p>
        </w:tc>
        <w:tc>
          <w:tcPr>
            <w:tcW w:w="3778" w:type="pct"/>
            <w:shd w:val="clear" w:color="auto" w:fill="FFFFFF"/>
            <w:vAlign w:val="center"/>
          </w:tcPr>
          <w:p w14:paraId="6DADEC91">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拟配备的服务团队成员中，除项目负责人以外，每增加一名注册会计师或财务类、审计类中级以上职称的，计2分，本项最多计10分。（投标文件中须提供相关证书复印件及人员在投标单位近三个月的社保证明，否则不计分。）</w:t>
            </w:r>
          </w:p>
        </w:tc>
      </w:tr>
      <w:tr w14:paraId="3BB6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4" w:type="pct"/>
            <w:vMerge w:val="continue"/>
            <w:shd w:val="clear" w:color="auto" w:fill="FFFFFF"/>
            <w:vAlign w:val="center"/>
          </w:tcPr>
          <w:p w14:paraId="5CA5BA1F">
            <w:pPr>
              <w:snapToGrid w:val="0"/>
              <w:spacing w:line="360" w:lineRule="exact"/>
              <w:rPr>
                <w:rFonts w:ascii="仿宋" w:hAnsi="仿宋" w:eastAsia="仿宋"/>
                <w:color w:val="000000"/>
                <w:sz w:val="28"/>
                <w:szCs w:val="28"/>
              </w:rPr>
            </w:pPr>
          </w:p>
        </w:tc>
        <w:tc>
          <w:tcPr>
            <w:tcW w:w="412" w:type="pct"/>
            <w:vMerge w:val="continue"/>
            <w:shd w:val="clear" w:color="auto" w:fill="FFFFFF"/>
            <w:vAlign w:val="center"/>
          </w:tcPr>
          <w:p w14:paraId="583A8593">
            <w:pPr>
              <w:snapToGrid w:val="0"/>
              <w:spacing w:line="360" w:lineRule="exact"/>
              <w:rPr>
                <w:rFonts w:ascii="仿宋" w:hAnsi="仿宋" w:eastAsia="仿宋"/>
                <w:color w:val="000000"/>
                <w:sz w:val="24"/>
              </w:rPr>
            </w:pPr>
          </w:p>
        </w:tc>
        <w:tc>
          <w:tcPr>
            <w:tcW w:w="384" w:type="pct"/>
            <w:shd w:val="clear" w:color="auto" w:fill="FFFFFF"/>
            <w:vAlign w:val="center"/>
          </w:tcPr>
          <w:p w14:paraId="798AF29E">
            <w:pPr>
              <w:snapToGrid w:val="0"/>
              <w:spacing w:line="360" w:lineRule="exact"/>
              <w:rPr>
                <w:rFonts w:ascii="仿宋" w:hAnsi="仿宋" w:eastAsia="仿宋"/>
                <w:color w:val="000000"/>
                <w:sz w:val="24"/>
              </w:rPr>
            </w:pPr>
            <w:r>
              <w:rPr>
                <w:rFonts w:hint="eastAsia" w:ascii="仿宋" w:hAnsi="仿宋" w:eastAsia="仿宋"/>
                <w:color w:val="000000"/>
                <w:sz w:val="24"/>
              </w:rPr>
              <w:t>服务</w:t>
            </w:r>
          </w:p>
          <w:p w14:paraId="5E67835E">
            <w:pPr>
              <w:snapToGrid w:val="0"/>
              <w:spacing w:line="360" w:lineRule="exact"/>
              <w:rPr>
                <w:rFonts w:ascii="仿宋" w:hAnsi="仿宋" w:eastAsia="仿宋"/>
                <w:color w:val="000000"/>
                <w:sz w:val="24"/>
              </w:rPr>
            </w:pPr>
            <w:r>
              <w:rPr>
                <w:rFonts w:hint="eastAsia" w:ascii="仿宋" w:hAnsi="仿宋" w:eastAsia="仿宋"/>
                <w:color w:val="000000"/>
                <w:sz w:val="24"/>
              </w:rPr>
              <w:t>承诺</w:t>
            </w:r>
          </w:p>
        </w:tc>
        <w:tc>
          <w:tcPr>
            <w:tcW w:w="260" w:type="pct"/>
            <w:shd w:val="clear" w:color="auto" w:fill="FFFFFF"/>
            <w:vAlign w:val="center"/>
          </w:tcPr>
          <w:p w14:paraId="7553DB1C">
            <w:pPr>
              <w:snapToGrid w:val="0"/>
              <w:spacing w:line="360" w:lineRule="exact"/>
              <w:rPr>
                <w:rFonts w:ascii="仿宋" w:hAnsi="仿宋" w:eastAsia="仿宋"/>
                <w:color w:val="000000"/>
                <w:sz w:val="24"/>
              </w:rPr>
            </w:pPr>
            <w:r>
              <w:rPr>
                <w:rFonts w:hint="eastAsia" w:ascii="仿宋" w:hAnsi="仿宋" w:eastAsia="仿宋"/>
                <w:color w:val="000000"/>
                <w:sz w:val="24"/>
              </w:rPr>
              <w:t>6分</w:t>
            </w:r>
          </w:p>
        </w:tc>
        <w:tc>
          <w:tcPr>
            <w:tcW w:w="3778" w:type="pct"/>
            <w:shd w:val="clear" w:color="auto" w:fill="FFFFFF"/>
            <w:vAlign w:val="center"/>
          </w:tcPr>
          <w:p w14:paraId="684C7684">
            <w:pPr>
              <w:pStyle w:val="7"/>
              <w:keepNext w:val="0"/>
              <w:keepLines w:val="0"/>
              <w:pageBreakBefore w:val="0"/>
              <w:widowControl/>
              <w:kinsoku/>
              <w:wordWrap/>
              <w:overflowPunct/>
              <w:topLinePunct w:val="0"/>
              <w:autoSpaceDE/>
              <w:autoSpaceDN/>
              <w:bidi w:val="0"/>
              <w:adjustRightInd/>
              <w:snapToGrid w:val="0"/>
              <w:spacing w:line="300" w:lineRule="exact"/>
              <w:jc w:val="both"/>
              <w:textAlignment w:val="auto"/>
              <w:rPr>
                <w:rFonts w:hint="eastAsia" w:ascii="仿宋" w:hAnsi="仿宋" w:eastAsia="仿宋"/>
                <w:color w:val="000000"/>
                <w:kern w:val="2"/>
              </w:rPr>
            </w:pPr>
            <w:r>
              <w:rPr>
                <w:rFonts w:hint="eastAsia" w:ascii="仿宋" w:hAnsi="仿宋" w:eastAsia="仿宋"/>
                <w:color w:val="000000"/>
                <w:kern w:val="2"/>
              </w:rPr>
              <w:t>1.服从发包人的工作安排，提供基本质量保证方面的承诺（包括但不限于投入的专业人员数量、完成专项任务时间、质量保证措施等方面）；2.提供后续服务咨询和增值服务承诺3.审计任务完成后，提供与后续跟进单位的工作衔接、业务交流、资料共享等承诺。每1项计2分。未提供的不计分</w:t>
            </w:r>
            <w:r>
              <w:rPr>
                <w:rFonts w:hint="eastAsia" w:ascii="仿宋" w:hAnsi="仿宋" w:eastAsia="仿宋"/>
                <w:color w:val="000000"/>
                <w:kern w:val="2"/>
                <w:lang w:val="en-US" w:eastAsia="zh-CN"/>
              </w:rPr>
              <w:t>（投标人必须提供相关制度说明材料复印件及相关承诺资料并加盖投标人单位公章，格式自拟，否则不计分。）</w:t>
            </w:r>
          </w:p>
        </w:tc>
      </w:tr>
    </w:tbl>
    <w:p w14:paraId="40997B39">
      <w:pPr>
        <w:snapToGrid w:val="0"/>
        <w:spacing w:line="560" w:lineRule="exact"/>
        <w:ind w:firstLine="1124" w:firstLineChars="400"/>
        <w:rPr>
          <w:rFonts w:ascii="宋体" w:hAnsi="宋体"/>
          <w:b/>
          <w:bCs/>
          <w:color w:val="000000"/>
          <w:sz w:val="28"/>
          <w:szCs w:val="28"/>
        </w:rPr>
      </w:pPr>
    </w:p>
    <w:p w14:paraId="6FBC98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230AA2"/>
    <w:rsid w:val="26230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customStyle="1" w:styleId="3">
    <w:name w:val="Default"/>
    <w:next w:val="4"/>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4">
    <w:name w:val="index 7"/>
    <w:basedOn w:val="1"/>
    <w:next w:val="1"/>
    <w:unhideWhenUsed/>
    <w:qFormat/>
    <w:uiPriority w:val="99"/>
    <w:pPr>
      <w:ind w:left="1200" w:leftChars="1200"/>
    </w:pPr>
  </w:style>
  <w:style w:type="paragraph" w:customStyle="1" w:styleId="7">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2026-09-04T03:55:00Z</dcterms:created>
  <dc:creator>爱灵无痕</dc:creator>
  <cp:lastModifiedBy>爱灵无痕</cp:lastModifiedBy>
  <dcterms:modified xsi:type="dcterms:W3CDTF">2026-09-04T03:55:31Z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04BA96C6D0AA443DA8935DDE21606384_11</vt:lpwstr>
  </property>
  <property fmtid="{D5CDD505-2E9C-101B-9397-08002B2CF9AE}" pid="4" name="KSOTemplateDocerSaveRecord">
    <vt:lpwstr>eyJoZGlkIjoiYzMyMjUxMmFmZmM0NGVkZTMyNWNkMjliYTk1ODg3ZjciLCJ1c2VySWQiOiI3NTEyOTEwNjgifQ==</vt:lpwstr>
  </property>
</Properties>
</file>