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757D261">
      <w:pPr>
        <w:jc w:val="center"/>
        <w:rPr>
          <w:rFonts w:hint="eastAsia" w:ascii="方正小标宋简体" w:hAnsi="方正小标宋简体" w:eastAsia="方正小标宋简体" w:cs="方正小标宋简体"/>
          <w:b/>
          <w:bCs/>
          <w:color w:val="FF0000"/>
          <w:spacing w:val="40"/>
          <w:w w:val="55"/>
          <w:sz w:val="96"/>
          <w:szCs w:val="96"/>
          <w:lang w:val="en-US" w:eastAsia="zh-CN"/>
        </w:rPr>
      </w:pPr>
      <w:r>
        <w:rPr>
          <w:rFonts w:hint="eastAsia" w:ascii="方正小标宋简体" w:hAnsi="方正小标宋简体" w:eastAsia="方正小标宋简体" w:cs="方正小标宋简体"/>
          <w:b/>
          <w:bCs/>
          <w:color w:val="FF0000"/>
          <w:spacing w:val="40"/>
          <w:w w:val="55"/>
          <w:sz w:val="96"/>
          <w:szCs w:val="96"/>
          <w:lang w:val="en-US" w:eastAsia="zh-CN"/>
        </w:rPr>
        <w:t>湖南省职业教育与成人教育学会</w:t>
      </w:r>
    </w:p>
    <w:p w14:paraId="53161AC4">
      <w:pPr>
        <w:jc w:val="right"/>
        <w:rPr>
          <w:rFonts w:hint="eastAsia"/>
          <w:b w:val="0"/>
          <w:bCs w:val="0"/>
          <w:sz w:val="40"/>
          <w:szCs w:val="48"/>
          <w:lang w:val="en-US" w:eastAsia="zh-CN"/>
        </w:rPr>
      </w:pPr>
      <w:r>
        <w:rPr>
          <w:rFonts w:hint="eastAsia" w:asciiTheme="majorEastAsia" w:hAnsiTheme="majorEastAsia" w:eastAsiaTheme="majorEastAsia" w:cstheme="majorEastAsia"/>
          <w:b/>
          <w:bCs/>
          <w:spacing w:val="40"/>
          <w:w w:val="55"/>
          <w:sz w:val="28"/>
          <w:szCs w:val="28"/>
          <w:lang w:val="en-US"/>
        </w:rPr>
        <w:t xml:space="preserve"> </w:t>
      </w:r>
      <w:r>
        <w:rPr>
          <w:rFonts w:hint="eastAsia" w:ascii="仿宋_GB2312" w:hAnsi="仿宋_GB2312" w:eastAsia="仿宋_GB2312" w:cs="仿宋_GB2312"/>
          <w:spacing w:val="7"/>
          <w:sz w:val="32"/>
          <w:szCs w:val="32"/>
          <w:lang w:val="en-US"/>
        </w:rPr>
        <w:t>湘职成学会〔202</w:t>
      </w:r>
      <w:r>
        <w:rPr>
          <w:rFonts w:hint="eastAsia" w:ascii="仿宋_GB2312" w:hAnsi="仿宋_GB2312" w:eastAsia="仿宋_GB2312" w:cs="仿宋_GB2312"/>
          <w:spacing w:val="7"/>
          <w:sz w:val="32"/>
          <w:szCs w:val="32"/>
          <w:lang w:val="en-US" w:eastAsia="zh-CN"/>
        </w:rPr>
        <w:t>6</w:t>
      </w:r>
      <w:r>
        <w:rPr>
          <w:rFonts w:hint="eastAsia" w:ascii="仿宋_GB2312" w:hAnsi="仿宋_GB2312" w:eastAsia="仿宋_GB2312" w:cs="仿宋_GB2312"/>
          <w:spacing w:val="7"/>
          <w:sz w:val="32"/>
          <w:szCs w:val="32"/>
          <w:lang w:val="en-US"/>
        </w:rPr>
        <w:t>〕</w:t>
      </w:r>
      <w:r>
        <w:rPr>
          <w:rFonts w:hint="eastAsia" w:ascii="仿宋_GB2312" w:hAnsi="仿宋_GB2312" w:eastAsia="仿宋_GB2312" w:cs="仿宋_GB2312"/>
          <w:spacing w:val="7"/>
          <w:sz w:val="32"/>
          <w:szCs w:val="32"/>
          <w:lang w:val="en-US" w:eastAsia="zh-CN"/>
        </w:rPr>
        <w:t>8</w:t>
      </w:r>
      <w:r>
        <w:rPr>
          <w:rFonts w:hint="eastAsia" w:ascii="仿宋_GB2312" w:hAnsi="仿宋_GB2312" w:eastAsia="仿宋_GB2312" w:cs="仿宋_GB2312"/>
          <w:spacing w:val="7"/>
          <w:sz w:val="32"/>
          <w:szCs w:val="32"/>
          <w:lang w:val="en-US"/>
        </w:rPr>
        <w:t>号</w:t>
      </w:r>
      <w:r>
        <w:rPr>
          <w:rFonts w:hint="eastAsia" w:asciiTheme="majorEastAsia" w:hAnsiTheme="majorEastAsia" w:eastAsiaTheme="majorEastAsia" w:cstheme="majorEastAsia"/>
          <w:b/>
          <w:bCs/>
          <w:spacing w:val="40"/>
          <w:w w:val="55"/>
          <w:sz w:val="28"/>
          <w:szCs w:val="28"/>
        </w:rPr>
        <mc:AlternateContent>
          <mc:Choice Requires="wps">
            <w:drawing>
              <wp:anchor distT="0" distB="0" distL="114300" distR="114300" simplePos="0" relativeHeight="251659264" behindDoc="0" locked="0" layoutInCell="1" allowOverlap="1">
                <wp:simplePos x="0" y="0"/>
                <wp:positionH relativeFrom="column">
                  <wp:posOffset>10160</wp:posOffset>
                </wp:positionH>
                <wp:positionV relativeFrom="paragraph">
                  <wp:posOffset>-10160</wp:posOffset>
                </wp:positionV>
                <wp:extent cx="5627370" cy="15875"/>
                <wp:effectExtent l="0" t="0" r="0" b="0"/>
                <wp:wrapNone/>
                <wp:docPr id="2" name="直接连接符 2"/>
                <wp:cNvGraphicFramePr/>
                <a:graphic xmlns:a="http://schemas.openxmlformats.org/drawingml/2006/main">
                  <a:graphicData uri="http://schemas.microsoft.com/office/word/2010/wordprocessingShape">
                    <wps:wsp>
                      <wps:cNvCnPr/>
                      <wps:spPr>
                        <a:xfrm flipV="1">
                          <a:off x="0" y="0"/>
                          <a:ext cx="5627370" cy="15875"/>
                        </a:xfrm>
                        <a:prstGeom prst="line">
                          <a:avLst/>
                        </a:prstGeom>
                        <a:ln w="19050">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flip:y;margin-left:0.8pt;margin-top:-0.8pt;height:1.25pt;width:443.1pt;z-index:251659264;mso-width-relative:page;mso-height-relative:page;" filled="f" stroked="t" coordsize="21600,21600" o:gfxdata="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">
                <v:fill on="f" focussize="0,0"/>
                <v:stroke weight="1.5pt" color="#FF0000 [3204]" joinstyle="round"/>
                <v:imagedata o:title=""/>
                <o:lock v:ext="edit" aspectratio="f"/>
              </v:line>
            </w:pict>
          </mc:Fallback>
        </mc:AlternateContent>
      </w:r>
    </w:p>
    <w:p w14:paraId="3C1977BC">
      <w:pPr>
        <w:keepNext w:val="0"/>
        <w:keepLines w:val="0"/>
        <w:pageBreakBefore w:val="0"/>
        <w:widowControl w:val="0"/>
        <w:kinsoku/>
        <w:wordWrap/>
        <w:overflowPunct/>
        <w:topLinePunct w:val="0"/>
        <w:autoSpaceDE/>
        <w:autoSpaceDN/>
        <w:bidi w:val="0"/>
        <w:adjustRightInd/>
        <w:snapToGrid/>
        <w:spacing w:line="560" w:lineRule="exact"/>
        <w:ind w:firstLine="573"/>
        <w:jc w:val="center"/>
        <w:textAlignment w:val="auto"/>
        <w:rPr>
          <w:rFonts w:hint="eastAsia" w:ascii="方正小标宋简体" w:hAnsi="方正小标宋简体" w:eastAsia="方正小标宋简体" w:cs="方正小标宋简体"/>
          <w:w w:val="100"/>
          <w:sz w:val="44"/>
          <w:szCs w:val="44"/>
          <w:lang w:val="en-US" w:eastAsia="zh-CN"/>
        </w:rPr>
      </w:pPr>
    </w:p>
    <w:p w14:paraId="1C825F7B">
      <w:pPr>
        <w:keepNext w:val="0"/>
        <w:keepLines w:val="0"/>
        <w:pageBreakBefore w:val="0"/>
        <w:widowControl w:val="0"/>
        <w:kinsoku/>
        <w:wordWrap/>
        <w:overflowPunct/>
        <w:topLinePunct w:val="0"/>
        <w:autoSpaceDE/>
        <w:autoSpaceDN/>
        <w:bidi w:val="0"/>
        <w:adjustRightInd/>
        <w:snapToGrid/>
        <w:spacing w:line="560" w:lineRule="exact"/>
        <w:ind w:firstLine="573"/>
        <w:jc w:val="center"/>
        <w:textAlignment w:val="auto"/>
        <w:rPr>
          <w:rFonts w:hint="eastAsia" w:ascii="方正小标宋简体" w:hAnsi="方正小标宋简体" w:eastAsia="方正小标宋简体" w:cs="方正小标宋简体"/>
          <w:w w:val="100"/>
          <w:sz w:val="44"/>
          <w:szCs w:val="44"/>
          <w:lang w:val="en-US" w:eastAsia="zh-CN"/>
        </w:rPr>
      </w:pPr>
      <w:r>
        <w:rPr>
          <w:rFonts w:hint="eastAsia" w:ascii="方正小标宋简体" w:hAnsi="方正小标宋简体" w:eastAsia="方正小标宋简体" w:cs="方正小标宋简体"/>
          <w:w w:val="100"/>
          <w:sz w:val="44"/>
          <w:szCs w:val="44"/>
          <w:lang w:val="en-US" w:eastAsia="zh-CN"/>
        </w:rPr>
        <w:t>关于申报2026年度湖南省职业教育与成人教育学会科研规划课题的通知</w:t>
      </w:r>
    </w:p>
    <w:p w14:paraId="1BC6E9C0">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w w:val="100"/>
          <w:sz w:val="32"/>
          <w:szCs w:val="32"/>
          <w:lang w:val="en-US" w:eastAsia="zh-CN"/>
        </w:rPr>
      </w:pPr>
    </w:p>
    <w:p w14:paraId="316934DE">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w w:val="100"/>
          <w:sz w:val="32"/>
          <w:szCs w:val="32"/>
          <w:lang w:val="en-US" w:eastAsia="zh-CN"/>
        </w:rPr>
      </w:pPr>
      <w:r>
        <w:rPr>
          <w:rFonts w:hint="eastAsia" w:ascii="仿宋_GB2312" w:hAnsi="仿宋_GB2312" w:eastAsia="仿宋_GB2312" w:cs="仿宋_GB2312"/>
          <w:w w:val="100"/>
          <w:sz w:val="32"/>
          <w:szCs w:val="32"/>
          <w:lang w:val="en-US" w:eastAsia="zh-CN"/>
        </w:rPr>
        <w:t>各会员单位、分支机构、各有关单位：</w:t>
      </w:r>
    </w:p>
    <w:p w14:paraId="1B265507">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w w:val="100"/>
          <w:sz w:val="32"/>
          <w:szCs w:val="32"/>
          <w:lang w:val="en-US" w:eastAsia="zh-CN"/>
        </w:rPr>
      </w:pPr>
      <w:r>
        <w:rPr>
          <w:rFonts w:hint="eastAsia" w:ascii="仿宋_GB2312" w:hAnsi="仿宋_GB2312" w:eastAsia="仿宋_GB2312" w:cs="仿宋_GB2312"/>
          <w:w w:val="100"/>
          <w:sz w:val="32"/>
          <w:szCs w:val="32"/>
          <w:lang w:val="en-US" w:eastAsia="zh-CN"/>
        </w:rPr>
        <w:t>经湖南省职业教育与成人教育学会学术委员会研究决定，于2026年9月启动学会2026年度科研规划课题（以下简称2026年度课题）申报和评审工作，现将有关事宜通知如下：</w:t>
      </w:r>
    </w:p>
    <w:p w14:paraId="001A9416">
      <w:pPr>
        <w:spacing w:line="560" w:lineRule="exact"/>
        <w:ind w:firstLine="640" w:firstLineChars="200"/>
        <w:jc w:val="both"/>
        <w:rPr>
          <w:rFonts w:hint="eastAsia" w:ascii="黑体" w:hAnsi="黑体" w:eastAsia="黑体" w:cs="黑体"/>
          <w:sz w:val="32"/>
          <w:szCs w:val="32"/>
          <w:lang w:val="en-US"/>
        </w:rPr>
      </w:pPr>
      <w:r>
        <w:rPr>
          <w:rFonts w:hint="eastAsia" w:ascii="黑体" w:hAnsi="黑体" w:eastAsia="黑体" w:cs="黑体"/>
          <w:sz w:val="32"/>
          <w:szCs w:val="32"/>
          <w:lang w:val="en-US"/>
        </w:rPr>
        <w:t>一、选题</w:t>
      </w:r>
    </w:p>
    <w:p w14:paraId="16AFBC21">
      <w:pPr>
        <w:spacing w:line="560" w:lineRule="exact"/>
        <w:ind w:firstLine="640" w:firstLineChars="200"/>
        <w:jc w:val="both"/>
        <w:rPr>
          <w:rFonts w:hint="eastAsia" w:ascii="仿宋_GB2312" w:hAnsi="仿宋_GB2312" w:eastAsia="仿宋_GB2312" w:cs="仿宋_GB2312"/>
          <w:sz w:val="32"/>
          <w:szCs w:val="32"/>
          <w:lang w:val="en-US"/>
        </w:rPr>
      </w:pPr>
      <w:r>
        <w:rPr>
          <w:rFonts w:hint="eastAsia" w:ascii="仿宋_GB2312" w:hAnsi="仿宋_GB2312" w:eastAsia="仿宋_GB2312" w:cs="仿宋_GB2312"/>
          <w:sz w:val="32"/>
          <w:szCs w:val="32"/>
          <w:lang w:val="en-US"/>
        </w:rPr>
        <w:t>选题主要以《湖南省职业教育与成人教育学会科研规划课题指南（</w:t>
      </w:r>
      <w:r>
        <w:rPr>
          <w:rFonts w:hint="eastAsia" w:ascii="仿宋_GB2312" w:hAnsi="仿宋_GB2312" w:eastAsia="仿宋_GB2312" w:cs="仿宋_GB2312"/>
          <w:sz w:val="32"/>
          <w:szCs w:val="32"/>
          <w:lang w:val="en-US" w:eastAsia="zh-CN"/>
        </w:rPr>
        <w:t>2026</w:t>
      </w:r>
      <w:r>
        <w:rPr>
          <w:rFonts w:hint="eastAsia" w:ascii="仿宋_GB2312" w:hAnsi="仿宋_GB2312" w:eastAsia="仿宋_GB2312" w:cs="仿宋_GB2312"/>
          <w:sz w:val="32"/>
          <w:szCs w:val="32"/>
          <w:lang w:val="en-US"/>
        </w:rPr>
        <w:t>年）》（以下简称“《指南》”，见附件1）为依据</w:t>
      </w:r>
      <w:r>
        <w:rPr>
          <w:rFonts w:hint="eastAsia" w:ascii="仿宋_GB2312" w:hAnsi="仿宋_GB2312" w:eastAsia="仿宋_GB2312" w:cs="仿宋_GB2312"/>
          <w:sz w:val="32"/>
          <w:szCs w:val="32"/>
          <w:highlight w:val="none"/>
          <w:lang w:val="en-US"/>
        </w:rPr>
        <w:t>。本《指南》为课题申报提供选题方向及研究范围参考，申报者可立足自身研究基础与工作实际，自行设计课题名称和研究内容，课题名</w:t>
      </w:r>
      <w:r>
        <w:rPr>
          <w:rFonts w:hint="eastAsia" w:ascii="仿宋_GB2312" w:hAnsi="仿宋_GB2312" w:eastAsia="仿宋_GB2312" w:cs="仿宋_GB2312"/>
          <w:sz w:val="32"/>
          <w:szCs w:val="32"/>
          <w:lang w:val="en-US"/>
        </w:rPr>
        <w:t>称要求表述科学、严谨、规范、简明，一般不加副标题。《指南》未涉及到的选题，只要具有较好的理论和实践价值，也可申报。鼓励聚焦热点问题和重点领域问题的研究。</w:t>
      </w:r>
    </w:p>
    <w:p w14:paraId="6ED0F0F0">
      <w:pPr>
        <w:spacing w:line="560" w:lineRule="exact"/>
        <w:ind w:firstLine="640" w:firstLineChars="200"/>
        <w:jc w:val="both"/>
        <w:rPr>
          <w:rFonts w:hint="eastAsia" w:ascii="黑体" w:hAnsi="黑体" w:eastAsia="黑体" w:cs="黑体"/>
          <w:sz w:val="32"/>
          <w:szCs w:val="32"/>
          <w:lang w:val="en-US"/>
        </w:rPr>
      </w:pPr>
      <w:r>
        <w:rPr>
          <w:rFonts w:hint="eastAsia" w:ascii="黑体" w:hAnsi="黑体" w:eastAsia="黑体" w:cs="黑体"/>
          <w:sz w:val="32"/>
          <w:szCs w:val="32"/>
          <w:lang w:val="en-US"/>
        </w:rPr>
        <w:t>二、申报对象</w:t>
      </w:r>
    </w:p>
    <w:p w14:paraId="5DD7AF35">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课题申报主要面向</w:t>
      </w:r>
      <w:r>
        <w:rPr>
          <w:rFonts w:hint="eastAsia" w:ascii="仿宋_GB2312" w:hAnsi="仿宋_GB2312" w:eastAsia="仿宋_GB2312" w:cs="仿宋_GB2312"/>
          <w:sz w:val="32"/>
          <w:szCs w:val="32"/>
          <w:lang w:val="en-US"/>
        </w:rPr>
        <w:t>学会单位会员</w:t>
      </w:r>
      <w:r>
        <w:rPr>
          <w:rFonts w:hint="eastAsia" w:ascii="仿宋_GB2312" w:hAnsi="仿宋_GB2312" w:eastAsia="仿宋_GB2312" w:cs="仿宋_GB2312"/>
          <w:sz w:val="32"/>
          <w:szCs w:val="32"/>
          <w:lang w:val="en-US" w:eastAsia="zh-CN"/>
        </w:rPr>
        <w:t>及</w:t>
      </w:r>
      <w:r>
        <w:rPr>
          <w:rFonts w:hint="eastAsia" w:ascii="仿宋_GB2312" w:hAnsi="仿宋_GB2312" w:eastAsia="仿宋_GB2312" w:cs="仿宋_GB2312"/>
          <w:sz w:val="32"/>
          <w:szCs w:val="32"/>
          <w:lang w:val="en-US"/>
        </w:rPr>
        <w:t>分支机构</w:t>
      </w:r>
      <w:r>
        <w:rPr>
          <w:rFonts w:hint="eastAsia" w:ascii="仿宋_GB2312" w:hAnsi="仿宋_GB2312" w:eastAsia="仿宋_GB2312" w:cs="仿宋_GB2312"/>
          <w:sz w:val="32"/>
          <w:szCs w:val="32"/>
          <w:lang w:val="en-US" w:eastAsia="zh-CN"/>
        </w:rPr>
        <w:t>，其他</w:t>
      </w:r>
      <w:r>
        <w:rPr>
          <w:rFonts w:hint="eastAsia" w:ascii="仿宋_GB2312" w:hAnsi="仿宋_GB2312" w:eastAsia="仿宋_GB2312" w:cs="仿宋_GB2312"/>
          <w:sz w:val="32"/>
          <w:szCs w:val="32"/>
          <w:lang w:val="en-US"/>
        </w:rPr>
        <w:t>各级各类职业院校、独立设置的成人高校、各级教育行政部门、科研院所的教师、管理人员及科</w:t>
      </w:r>
      <w:r>
        <w:rPr>
          <w:rFonts w:hint="eastAsia" w:ascii="仿宋_GB2312" w:hAnsi="仿宋_GB2312" w:eastAsia="仿宋_GB2312" w:cs="仿宋_GB2312"/>
          <w:sz w:val="32"/>
          <w:szCs w:val="32"/>
        </w:rPr>
        <w:t>研工作者，行业企业、社会各界的技术人员以及热心职业教育与成人教育研究的相关人员</w:t>
      </w:r>
      <w:r>
        <w:rPr>
          <w:rFonts w:hint="eastAsia" w:ascii="仿宋_GB2312" w:hAnsi="仿宋_GB2312" w:eastAsia="仿宋_GB2312" w:cs="仿宋_GB2312"/>
          <w:sz w:val="32"/>
          <w:szCs w:val="32"/>
          <w:lang w:val="en-US" w:eastAsia="zh-CN"/>
        </w:rPr>
        <w:t>若有申报意愿，也可申报。</w:t>
      </w:r>
    </w:p>
    <w:p w14:paraId="2B49028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课题申请人</w:t>
      </w:r>
      <w:r>
        <w:rPr>
          <w:rFonts w:hint="eastAsia" w:ascii="仿宋_GB2312" w:hAnsi="仿宋_GB2312" w:eastAsia="仿宋_GB2312" w:cs="仿宋_GB2312"/>
          <w:sz w:val="32"/>
          <w:szCs w:val="32"/>
          <w:lang w:val="en-US" w:eastAsia="zh-CN"/>
        </w:rPr>
        <w:t>一般</w:t>
      </w:r>
      <w:r>
        <w:rPr>
          <w:rFonts w:hint="default" w:ascii="仿宋_GB2312" w:hAnsi="仿宋_GB2312" w:eastAsia="仿宋_GB2312" w:cs="仿宋_GB2312"/>
          <w:sz w:val="32"/>
          <w:szCs w:val="32"/>
          <w:lang w:val="en-US" w:eastAsia="zh-CN"/>
        </w:rPr>
        <w:t>应具备以下条件：</w:t>
      </w:r>
    </w:p>
    <w:p w14:paraId="03A282B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kern w:val="2"/>
          <w:sz w:val="32"/>
          <w:szCs w:val="32"/>
          <w:lang w:val="en-US" w:eastAsia="zh-CN" w:bidi="ar-SA"/>
        </w:rPr>
        <w:t>1.</w:t>
      </w:r>
      <w:r>
        <w:rPr>
          <w:rFonts w:hint="eastAsia" w:ascii="仿宋_GB2312" w:hAnsi="仿宋_GB2312" w:eastAsia="仿宋_GB2312" w:cs="仿宋_GB2312"/>
          <w:sz w:val="32"/>
          <w:szCs w:val="32"/>
          <w:lang w:val="en-US" w:eastAsia="zh-CN"/>
        </w:rPr>
        <w:t>具有中级及以上专业技术职称或有5年职业教育行政管理工作经验；</w:t>
      </w:r>
    </w:p>
    <w:p w14:paraId="17EE73F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2.必须能够真正承担和负责组织、指导课题的实施；</w:t>
      </w:r>
    </w:p>
    <w:p w14:paraId="0B0879D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3.每个申请人只能主持申报一项课题，承担本会研究课题尚未结题时，不得申请新的研究课题；</w:t>
      </w:r>
    </w:p>
    <w:p w14:paraId="2393C90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4.青年课题的申请人以及成员的年龄未超过35周岁；</w:t>
      </w:r>
    </w:p>
    <w:p w14:paraId="7624F38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5.没有被学会撤销课题立项的。</w:t>
      </w:r>
    </w:p>
    <w:p w14:paraId="3948AA76">
      <w:pPr>
        <w:spacing w:line="560" w:lineRule="exact"/>
        <w:ind w:firstLine="640" w:firstLineChars="200"/>
        <w:jc w:val="both"/>
        <w:rPr>
          <w:rFonts w:hint="eastAsia" w:ascii="黑体" w:hAnsi="黑体" w:eastAsia="黑体" w:cs="黑体"/>
          <w:sz w:val="32"/>
          <w:szCs w:val="32"/>
          <w:lang w:val="en-US"/>
        </w:rPr>
      </w:pPr>
      <w:r>
        <w:rPr>
          <w:rFonts w:hint="eastAsia" w:ascii="黑体" w:hAnsi="黑体" w:eastAsia="黑体" w:cs="黑体"/>
          <w:sz w:val="32"/>
          <w:szCs w:val="32"/>
          <w:lang w:val="en-US"/>
        </w:rPr>
        <w:t>三、申报要求</w:t>
      </w:r>
    </w:p>
    <w:p w14:paraId="74FE776D">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pacing w:val="-6"/>
          <w:sz w:val="32"/>
          <w:szCs w:val="32"/>
        </w:rPr>
      </w:pPr>
      <w:r>
        <w:rPr>
          <w:rFonts w:hint="eastAsia" w:ascii="仿宋_GB2312" w:hAnsi="仿宋_GB2312" w:eastAsia="仿宋_GB2312" w:cs="仿宋_GB2312"/>
          <w:sz w:val="32"/>
          <w:szCs w:val="32"/>
        </w:rPr>
        <w:t>1.本次课题实行限额申报。</w:t>
      </w:r>
      <w:r>
        <w:rPr>
          <w:rFonts w:hint="eastAsia" w:ascii="仿宋_GB2312" w:hAnsi="仿宋_GB2312" w:eastAsia="仿宋_GB2312" w:cs="仿宋_GB2312"/>
          <w:sz w:val="32"/>
          <w:szCs w:val="32"/>
          <w:lang w:val="en-US"/>
        </w:rPr>
        <w:t>副会长单位</w:t>
      </w:r>
      <w:r>
        <w:rPr>
          <w:rFonts w:hint="eastAsia" w:ascii="仿宋_GB2312" w:hAnsi="仿宋_GB2312" w:eastAsia="仿宋_GB2312" w:cs="仿宋_GB2312"/>
          <w:spacing w:val="-6"/>
          <w:sz w:val="32"/>
          <w:szCs w:val="32"/>
        </w:rPr>
        <w:t>申报的课题数量</w:t>
      </w:r>
      <w:r>
        <w:rPr>
          <w:rFonts w:hint="eastAsia" w:ascii="仿宋_GB2312" w:hAnsi="仿宋_GB2312" w:eastAsia="仿宋_GB2312" w:cs="仿宋_GB2312"/>
          <w:spacing w:val="-6"/>
          <w:sz w:val="32"/>
          <w:szCs w:val="32"/>
          <w:lang w:val="en-US" w:eastAsia="zh-CN"/>
        </w:rPr>
        <w:t>原则上</w:t>
      </w:r>
      <w:r>
        <w:rPr>
          <w:rFonts w:hint="eastAsia" w:ascii="仿宋_GB2312" w:hAnsi="仿宋_GB2312" w:eastAsia="仿宋_GB2312" w:cs="仿宋_GB2312"/>
          <w:spacing w:val="-6"/>
          <w:sz w:val="32"/>
          <w:szCs w:val="32"/>
        </w:rPr>
        <w:t>不超过15项，</w:t>
      </w:r>
      <w:r>
        <w:rPr>
          <w:rFonts w:hint="eastAsia" w:ascii="仿宋_GB2312" w:hAnsi="仿宋_GB2312" w:eastAsia="仿宋_GB2312" w:cs="仿宋_GB2312"/>
          <w:spacing w:val="-6"/>
          <w:sz w:val="32"/>
          <w:szCs w:val="32"/>
          <w:lang w:val="en-US"/>
        </w:rPr>
        <w:t>常务理事单位</w:t>
      </w:r>
      <w:r>
        <w:rPr>
          <w:rFonts w:hint="eastAsia" w:ascii="仿宋_GB2312" w:hAnsi="仿宋_GB2312" w:eastAsia="仿宋_GB2312" w:cs="仿宋_GB2312"/>
          <w:spacing w:val="-6"/>
          <w:sz w:val="32"/>
          <w:szCs w:val="32"/>
          <w:lang w:val="en-US" w:eastAsia="zh-CN"/>
        </w:rPr>
        <w:t>原则上</w:t>
      </w:r>
      <w:r>
        <w:rPr>
          <w:rFonts w:hint="eastAsia" w:ascii="仿宋_GB2312" w:hAnsi="仿宋_GB2312" w:eastAsia="仿宋_GB2312" w:cs="仿宋_GB2312"/>
          <w:spacing w:val="-6"/>
          <w:sz w:val="32"/>
          <w:szCs w:val="32"/>
        </w:rPr>
        <w:t>不超过10项，</w:t>
      </w:r>
      <w:r>
        <w:rPr>
          <w:rFonts w:hint="eastAsia" w:ascii="仿宋_GB2312" w:hAnsi="仿宋_GB2312" w:eastAsia="仿宋_GB2312" w:cs="仿宋_GB2312"/>
          <w:spacing w:val="-6"/>
          <w:sz w:val="32"/>
          <w:szCs w:val="32"/>
          <w:lang w:val="en-US"/>
        </w:rPr>
        <w:t>理事单位</w:t>
      </w:r>
      <w:r>
        <w:rPr>
          <w:rFonts w:hint="eastAsia" w:ascii="仿宋_GB2312" w:hAnsi="仿宋_GB2312" w:eastAsia="仿宋_GB2312" w:cs="仿宋_GB2312"/>
          <w:spacing w:val="-6"/>
          <w:sz w:val="32"/>
          <w:szCs w:val="32"/>
          <w:lang w:val="en-US" w:eastAsia="zh-CN"/>
        </w:rPr>
        <w:t>原则上</w:t>
      </w:r>
      <w:r>
        <w:rPr>
          <w:rFonts w:hint="eastAsia" w:ascii="仿宋_GB2312" w:hAnsi="仿宋_GB2312" w:eastAsia="仿宋_GB2312" w:cs="仿宋_GB2312"/>
          <w:spacing w:val="-6"/>
          <w:sz w:val="32"/>
          <w:szCs w:val="32"/>
          <w:lang w:val="en-US"/>
        </w:rPr>
        <w:t>不超过7项，</w:t>
      </w:r>
      <w:r>
        <w:rPr>
          <w:rFonts w:hint="eastAsia" w:ascii="仿宋_GB2312" w:hAnsi="仿宋_GB2312" w:eastAsia="仿宋_GB2312" w:cs="仿宋_GB2312"/>
          <w:spacing w:val="-6"/>
          <w:sz w:val="32"/>
          <w:szCs w:val="32"/>
        </w:rPr>
        <w:t>其他单位</w:t>
      </w:r>
      <w:r>
        <w:rPr>
          <w:rFonts w:hint="eastAsia" w:ascii="仿宋_GB2312" w:hAnsi="仿宋_GB2312" w:eastAsia="仿宋_GB2312" w:cs="仿宋_GB2312"/>
          <w:spacing w:val="-6"/>
          <w:sz w:val="32"/>
          <w:szCs w:val="32"/>
          <w:lang w:val="en-US" w:eastAsia="zh-CN"/>
        </w:rPr>
        <w:t>原则上</w:t>
      </w:r>
      <w:r>
        <w:rPr>
          <w:rFonts w:hint="eastAsia" w:ascii="仿宋_GB2312" w:hAnsi="仿宋_GB2312" w:eastAsia="仿宋_GB2312" w:cs="仿宋_GB2312"/>
          <w:spacing w:val="-6"/>
          <w:sz w:val="32"/>
          <w:szCs w:val="32"/>
        </w:rPr>
        <w:t>不超过</w:t>
      </w:r>
      <w:r>
        <w:rPr>
          <w:rFonts w:hint="eastAsia" w:ascii="仿宋_GB2312" w:hAnsi="仿宋_GB2312" w:eastAsia="仿宋_GB2312" w:cs="仿宋_GB2312"/>
          <w:spacing w:val="-6"/>
          <w:sz w:val="32"/>
          <w:szCs w:val="32"/>
          <w:lang w:val="en-US"/>
        </w:rPr>
        <w:t>3</w:t>
      </w:r>
      <w:r>
        <w:rPr>
          <w:rFonts w:hint="eastAsia" w:ascii="仿宋_GB2312" w:hAnsi="仿宋_GB2312" w:eastAsia="仿宋_GB2312" w:cs="仿宋_GB2312"/>
          <w:spacing w:val="-6"/>
          <w:sz w:val="32"/>
          <w:szCs w:val="32"/>
        </w:rPr>
        <w:t>项。</w:t>
      </w:r>
    </w:p>
    <w:p w14:paraId="19356278">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学会分支机构的课题由该分支机构初评后再向本会申报，每个分支机构申报的课题</w:t>
      </w:r>
      <w:r>
        <w:rPr>
          <w:rFonts w:hint="eastAsia" w:ascii="仿宋_GB2312" w:hAnsi="仿宋_GB2312" w:eastAsia="仿宋_GB2312" w:cs="仿宋_GB2312"/>
          <w:sz w:val="32"/>
          <w:szCs w:val="32"/>
          <w:lang w:val="en-US" w:eastAsia="zh-CN"/>
        </w:rPr>
        <w:t>原则上</w:t>
      </w:r>
      <w:r>
        <w:rPr>
          <w:rFonts w:hint="eastAsia" w:ascii="仿宋_GB2312" w:hAnsi="仿宋_GB2312" w:eastAsia="仿宋_GB2312" w:cs="仿宋_GB2312"/>
          <w:sz w:val="32"/>
          <w:szCs w:val="32"/>
        </w:rPr>
        <w:t>不超过10项。</w:t>
      </w:r>
    </w:p>
    <w:p w14:paraId="2D280B85">
      <w:pPr>
        <w:numPr>
          <w:ilvl w:val="0"/>
          <w:numId w:val="0"/>
        </w:numPr>
        <w:spacing w:line="560" w:lineRule="exact"/>
        <w:ind w:firstLine="596" w:firstLineChars="200"/>
        <w:jc w:val="both"/>
        <w:rPr>
          <w:rFonts w:hint="eastAsia" w:ascii="仿宋_GB2312" w:hAnsi="仿宋_GB2312" w:eastAsia="仿宋_GB2312" w:cs="仿宋_GB2312"/>
          <w:spacing w:val="-11"/>
          <w:sz w:val="32"/>
          <w:szCs w:val="32"/>
          <w:highlight w:val="none"/>
        </w:rPr>
      </w:pPr>
      <w:r>
        <w:rPr>
          <w:rFonts w:hint="eastAsia" w:ascii="仿宋_GB2312" w:hAnsi="仿宋_GB2312" w:eastAsia="仿宋_GB2312" w:cs="仿宋_GB2312"/>
          <w:spacing w:val="-11"/>
          <w:kern w:val="2"/>
          <w:sz w:val="32"/>
          <w:szCs w:val="32"/>
          <w:lang w:val="en-US" w:eastAsia="zh-CN" w:bidi="ar-SA"/>
        </w:rPr>
        <w:t>2.</w:t>
      </w:r>
      <w:r>
        <w:rPr>
          <w:rFonts w:hint="eastAsia" w:ascii="仿宋_GB2312" w:hAnsi="仿宋_GB2312" w:eastAsia="仿宋_GB2312" w:cs="仿宋_GB2312"/>
          <w:spacing w:val="-11"/>
          <w:sz w:val="32"/>
          <w:szCs w:val="32"/>
        </w:rPr>
        <w:t>每位申</w:t>
      </w:r>
      <w:r>
        <w:rPr>
          <w:rFonts w:hint="eastAsia" w:ascii="仿宋_GB2312" w:hAnsi="仿宋_GB2312" w:eastAsia="仿宋_GB2312" w:cs="仿宋_GB2312"/>
          <w:spacing w:val="-11"/>
          <w:sz w:val="32"/>
          <w:szCs w:val="32"/>
          <w:lang w:val="en-US"/>
        </w:rPr>
        <w:t>请</w:t>
      </w:r>
      <w:r>
        <w:rPr>
          <w:rFonts w:hint="eastAsia" w:ascii="仿宋_GB2312" w:hAnsi="仿宋_GB2312" w:eastAsia="仿宋_GB2312" w:cs="仿宋_GB2312"/>
          <w:spacing w:val="-11"/>
          <w:sz w:val="32"/>
          <w:szCs w:val="32"/>
        </w:rPr>
        <w:t>人只能申报一个课题。每个课题限报一名负责人</w:t>
      </w:r>
      <w:r>
        <w:rPr>
          <w:rFonts w:hint="eastAsia" w:ascii="仿宋_GB2312" w:hAnsi="仿宋_GB2312" w:eastAsia="仿宋_GB2312" w:cs="仿宋_GB2312"/>
          <w:spacing w:val="-11"/>
          <w:sz w:val="32"/>
          <w:szCs w:val="32"/>
          <w:lang w:eastAsia="zh-CN"/>
        </w:rPr>
        <w:t>，</w:t>
      </w:r>
      <w:r>
        <w:rPr>
          <w:rFonts w:hint="eastAsia" w:ascii="仿宋_GB2312" w:hAnsi="仿宋_GB2312" w:eastAsia="仿宋_GB2312" w:cs="仿宋_GB2312"/>
          <w:spacing w:val="-11"/>
          <w:sz w:val="32"/>
          <w:szCs w:val="32"/>
          <w:highlight w:val="none"/>
          <w:lang w:val="en-US" w:eastAsia="zh-CN"/>
        </w:rPr>
        <w:t>每个课题参与人员不超过10名（含负责人），负责人不得作为参与人员参与本年度学会其他课题</w:t>
      </w:r>
      <w:r>
        <w:rPr>
          <w:rFonts w:hint="eastAsia" w:ascii="仿宋_GB2312" w:hAnsi="仿宋_GB2312" w:eastAsia="仿宋_GB2312" w:cs="仿宋_GB2312"/>
          <w:spacing w:val="-11"/>
          <w:sz w:val="32"/>
          <w:szCs w:val="32"/>
          <w:highlight w:val="none"/>
        </w:rPr>
        <w:t>。</w:t>
      </w:r>
    </w:p>
    <w:p w14:paraId="481EFF16">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96" w:firstLineChars="200"/>
        <w:jc w:val="both"/>
        <w:textAlignment w:val="auto"/>
        <w:rPr>
          <w:rFonts w:hint="eastAsia" w:ascii="仿宋_GB2312" w:hAnsi="仿宋_GB2312" w:eastAsia="仿宋_GB2312" w:cs="仿宋_GB2312"/>
          <w:spacing w:val="-11"/>
          <w:sz w:val="32"/>
          <w:szCs w:val="32"/>
          <w:lang w:val="en-US" w:eastAsia="zh-CN"/>
        </w:rPr>
      </w:pPr>
      <w:r>
        <w:rPr>
          <w:rFonts w:hint="eastAsia" w:ascii="仿宋_GB2312" w:hAnsi="仿宋_GB2312" w:eastAsia="仿宋_GB2312" w:cs="仿宋_GB2312"/>
          <w:spacing w:val="-11"/>
          <w:sz w:val="32"/>
          <w:szCs w:val="32"/>
          <w:lang w:val="en-US" w:eastAsia="zh-CN"/>
        </w:rPr>
        <w:t>3.课题研究时间一般应在立项后一年之内完成。</w:t>
      </w:r>
    </w:p>
    <w:p w14:paraId="0AB7382D">
      <w:pPr>
        <w:spacing w:line="560" w:lineRule="exact"/>
        <w:ind w:firstLine="640"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rPr>
        <w:t>4</w:t>
      </w:r>
      <w:r>
        <w:rPr>
          <w:rFonts w:hint="eastAsia" w:ascii="仿宋_GB2312" w:hAnsi="仿宋_GB2312" w:eastAsia="仿宋_GB2312" w:cs="仿宋_GB2312"/>
          <w:sz w:val="32"/>
          <w:szCs w:val="32"/>
        </w:rPr>
        <w:t>.课题研究最终成果主件应为研究报告、公开发表的论文或公开出版的</w:t>
      </w:r>
      <w:r>
        <w:rPr>
          <w:rFonts w:hint="eastAsia" w:ascii="仿宋_GB2312" w:hAnsi="仿宋_GB2312" w:eastAsia="仿宋_GB2312" w:cs="仿宋_GB2312"/>
          <w:sz w:val="32"/>
          <w:szCs w:val="32"/>
          <w:lang w:val="en-US"/>
        </w:rPr>
        <w:t>专著</w:t>
      </w:r>
      <w:r>
        <w:rPr>
          <w:rFonts w:hint="eastAsia" w:ascii="仿宋_GB2312" w:hAnsi="仿宋_GB2312" w:eastAsia="仿宋_GB2312" w:cs="仿宋_GB2312"/>
          <w:sz w:val="32"/>
          <w:szCs w:val="32"/>
        </w:rPr>
        <w:t>，如有其他成果，可作为附件。最终成果仅为文集、教材、丛书等的，将不予立项。</w:t>
      </w:r>
    </w:p>
    <w:p w14:paraId="31F2CBEC">
      <w:pPr>
        <w:spacing w:line="560" w:lineRule="exact"/>
        <w:ind w:firstLine="640"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rPr>
        <w:t>5</w:t>
      </w:r>
      <w:r>
        <w:rPr>
          <w:rFonts w:hint="eastAsia" w:ascii="仿宋_GB2312" w:hAnsi="仿宋_GB2312" w:eastAsia="仿宋_GB2312" w:cs="仿宋_GB2312"/>
          <w:sz w:val="32"/>
          <w:szCs w:val="32"/>
        </w:rPr>
        <w:t>.课题申报表（见附件2）必须</w:t>
      </w:r>
      <w:r>
        <w:rPr>
          <w:rFonts w:hint="eastAsia" w:ascii="仿宋_GB2312" w:hAnsi="仿宋_GB2312" w:eastAsia="仿宋_GB2312" w:cs="仿宋_GB2312"/>
          <w:sz w:val="32"/>
          <w:szCs w:val="32"/>
          <w:lang w:val="en-US" w:eastAsia="zh-CN"/>
        </w:rPr>
        <w:t>采用学会统一印制的规范表格</w:t>
      </w:r>
      <w:r>
        <w:rPr>
          <w:rFonts w:hint="eastAsia" w:ascii="仿宋_GB2312" w:hAnsi="仿宋_GB2312" w:eastAsia="仿宋_GB2312" w:cs="仿宋_GB2312"/>
          <w:sz w:val="32"/>
          <w:szCs w:val="32"/>
        </w:rPr>
        <w:t>，不得更改申报表。申报表须由申请人所在单位签署意见并加盖公章。</w:t>
      </w:r>
    </w:p>
    <w:p w14:paraId="4A85F1B4">
      <w:pPr>
        <w:spacing w:line="560" w:lineRule="exact"/>
        <w:ind w:firstLine="640" w:firstLineChars="200"/>
        <w:jc w:val="both"/>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lang w:val="en-US"/>
        </w:rPr>
        <w:t>各单位需指定一名管理员负责管理本会课题</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lang w:val="en-US"/>
        </w:rPr>
        <w:t>并于202</w:t>
      </w: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lang w:val="en-US"/>
        </w:rPr>
        <w:t>年</w:t>
      </w:r>
      <w:r>
        <w:rPr>
          <w:rFonts w:hint="eastAsia" w:ascii="仿宋_GB2312" w:hAnsi="仿宋_GB2312" w:eastAsia="仿宋_GB2312" w:cs="仿宋_GB2312"/>
          <w:sz w:val="32"/>
          <w:szCs w:val="32"/>
          <w:lang w:val="en-US" w:eastAsia="zh-CN"/>
        </w:rPr>
        <w:t>10</w:t>
      </w:r>
      <w:r>
        <w:rPr>
          <w:rFonts w:hint="eastAsia" w:ascii="仿宋_GB2312" w:hAnsi="仿宋_GB2312" w:eastAsia="仿宋_GB2312" w:cs="仿宋_GB2312"/>
          <w:sz w:val="32"/>
          <w:szCs w:val="32"/>
          <w:lang w:val="en-US"/>
        </w:rPr>
        <w:t>月</w:t>
      </w:r>
      <w:r>
        <w:rPr>
          <w:rFonts w:hint="eastAsia" w:ascii="仿宋_GB2312" w:hAnsi="仿宋_GB2312" w:eastAsia="仿宋_GB2312" w:cs="仿宋_GB2312"/>
          <w:sz w:val="32"/>
          <w:szCs w:val="32"/>
          <w:lang w:val="en-US" w:eastAsia="zh-CN"/>
        </w:rPr>
        <w:t>31</w:t>
      </w:r>
      <w:r>
        <w:rPr>
          <w:rFonts w:hint="eastAsia" w:ascii="仿宋_GB2312" w:hAnsi="仿宋_GB2312" w:eastAsia="仿宋_GB2312" w:cs="仿宋_GB2312"/>
          <w:sz w:val="32"/>
          <w:szCs w:val="32"/>
          <w:lang w:val="en-US"/>
        </w:rPr>
        <w:t>前将管理员信息表（见附件4）提交到学会邮箱</w:t>
      </w:r>
      <w:r>
        <w:rPr>
          <w:rFonts w:hint="eastAsia" w:ascii="仿宋_GB2312" w:hAnsi="仿宋_GB2312" w:eastAsia="仿宋_GB2312" w:cs="仿宋_GB2312"/>
          <w:sz w:val="32"/>
          <w:szCs w:val="32"/>
          <w:lang w:val="en-US" w:eastAsia="zh-CN"/>
        </w:rPr>
        <w:t>，上一年度已经确认管理员的单位无需重复提交，若管理员更换请重新提交。</w:t>
      </w:r>
    </w:p>
    <w:p w14:paraId="0B1DF438">
      <w:pPr>
        <w:spacing w:line="560" w:lineRule="exact"/>
        <w:ind w:firstLine="640" w:firstLineChars="200"/>
        <w:jc w:val="both"/>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sz w:val="32"/>
          <w:szCs w:val="32"/>
          <w:lang w:val="en-US" w:eastAsia="zh-CN"/>
        </w:rPr>
        <w:t>7.</w:t>
      </w:r>
      <w:r>
        <w:rPr>
          <w:rFonts w:hint="eastAsia" w:ascii="仿宋_GB2312" w:hAnsi="仿宋_GB2312" w:eastAsia="仿宋_GB2312" w:cs="仿宋_GB2312"/>
          <w:sz w:val="32"/>
          <w:szCs w:val="32"/>
          <w:lang w:val="en-US"/>
        </w:rPr>
        <w:t>管理员汇总本单位全部申报信息，于202</w:t>
      </w: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lang w:val="en-US"/>
        </w:rPr>
        <w:t>年</w:t>
      </w:r>
      <w:r>
        <w:rPr>
          <w:rFonts w:hint="eastAsia" w:ascii="仿宋_GB2312" w:hAnsi="仿宋_GB2312" w:eastAsia="仿宋_GB2312" w:cs="仿宋_GB2312"/>
          <w:sz w:val="32"/>
          <w:szCs w:val="32"/>
          <w:lang w:val="en-US" w:eastAsia="zh-CN"/>
        </w:rPr>
        <w:t>10</w:t>
      </w:r>
      <w:r>
        <w:rPr>
          <w:rFonts w:hint="eastAsia" w:ascii="仿宋_GB2312" w:hAnsi="仿宋_GB2312" w:eastAsia="仿宋_GB2312" w:cs="仿宋_GB2312"/>
          <w:sz w:val="32"/>
          <w:szCs w:val="32"/>
          <w:lang w:val="en-US"/>
        </w:rPr>
        <w:t>月</w:t>
      </w:r>
      <w:r>
        <w:rPr>
          <w:rFonts w:hint="eastAsia" w:ascii="仿宋_GB2312" w:hAnsi="仿宋_GB2312" w:eastAsia="仿宋_GB2312" w:cs="仿宋_GB2312"/>
          <w:sz w:val="32"/>
          <w:szCs w:val="32"/>
          <w:lang w:val="en-US" w:eastAsia="zh-CN"/>
        </w:rPr>
        <w:t>31</w:t>
      </w:r>
      <w:r>
        <w:rPr>
          <w:rFonts w:hint="eastAsia" w:ascii="仿宋_GB2312" w:hAnsi="仿宋_GB2312" w:eastAsia="仿宋_GB2312" w:cs="仿宋_GB2312"/>
          <w:sz w:val="32"/>
          <w:szCs w:val="32"/>
          <w:lang w:val="en-US"/>
        </w:rPr>
        <w:t>日前提交</w:t>
      </w:r>
      <w:r>
        <w:rPr>
          <w:rFonts w:hint="eastAsia" w:ascii="仿宋_GB2312" w:hAnsi="仿宋_GB2312" w:eastAsia="仿宋_GB2312" w:cs="仿宋_GB2312"/>
          <w:sz w:val="32"/>
          <w:szCs w:val="32"/>
          <w:lang w:val="en-US" w:eastAsia="zh-CN"/>
        </w:rPr>
        <w:t>2026</w:t>
      </w:r>
      <w:r>
        <w:rPr>
          <w:rFonts w:hint="eastAsia" w:ascii="仿宋_GB2312" w:hAnsi="仿宋_GB2312" w:eastAsia="仿宋_GB2312" w:cs="仿宋_GB2312"/>
          <w:sz w:val="32"/>
          <w:szCs w:val="32"/>
          <w:lang w:val="en-US"/>
        </w:rPr>
        <w:t>年度湖南省职业教育与成人教育学会科研规划课题申报汇总表（见附件3）</w:t>
      </w:r>
      <w:r>
        <w:rPr>
          <w:rFonts w:hint="eastAsia" w:ascii="仿宋_GB2312" w:hAnsi="仿宋_GB2312" w:eastAsia="仿宋_GB2312" w:cs="仿宋_GB2312"/>
          <w:sz w:val="32"/>
          <w:szCs w:val="32"/>
          <w:lang w:val="en-US" w:eastAsia="zh-CN"/>
        </w:rPr>
        <w:t>、申报人诚信承诺书（附件7）</w:t>
      </w:r>
      <w:r>
        <w:rPr>
          <w:rFonts w:hint="eastAsia" w:ascii="仿宋_GB2312" w:hAnsi="仿宋_GB2312" w:eastAsia="仿宋_GB2312" w:cs="仿宋_GB2312"/>
          <w:sz w:val="32"/>
          <w:szCs w:val="32"/>
          <w:lang w:val="en-US"/>
        </w:rPr>
        <w:t>到学会邮箱</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b/>
          <w:bCs/>
          <w:sz w:val="32"/>
          <w:szCs w:val="32"/>
          <w:lang w:val="en-US" w:eastAsia="zh-CN"/>
        </w:rPr>
        <w:t>所有报送至学会邮箱的申报材料学会默认已经在申报单位经过公示且无异议。</w:t>
      </w:r>
    </w:p>
    <w:p w14:paraId="16D9CA67">
      <w:pPr>
        <w:spacing w:line="560" w:lineRule="exact"/>
        <w:ind w:firstLine="640" w:firstLineChars="200"/>
        <w:jc w:val="both"/>
        <w:rPr>
          <w:rFonts w:hint="eastAsia" w:ascii="仿宋_GB2312" w:hAnsi="仿宋_GB2312" w:eastAsia="仿宋_GB2312" w:cs="仿宋_GB2312"/>
          <w:sz w:val="32"/>
          <w:szCs w:val="32"/>
          <w:lang w:val="en-US"/>
        </w:rPr>
      </w:pPr>
      <w:r>
        <w:rPr>
          <w:rFonts w:hint="eastAsia" w:ascii="仿宋_GB2312" w:hAnsi="仿宋_GB2312" w:eastAsia="仿宋_GB2312" w:cs="仿宋_GB2312"/>
          <w:b w:val="0"/>
          <w:bCs w:val="0"/>
          <w:sz w:val="32"/>
          <w:szCs w:val="32"/>
          <w:lang w:val="en-US" w:eastAsia="zh-CN"/>
        </w:rPr>
        <w:t>8.</w:t>
      </w:r>
      <w:r>
        <w:rPr>
          <w:rFonts w:hint="eastAsia" w:ascii="仿宋_GB2312" w:hAnsi="仿宋_GB2312" w:eastAsia="仿宋_GB2312" w:cs="仿宋_GB2312"/>
          <w:b w:val="0"/>
          <w:bCs w:val="0"/>
          <w:sz w:val="32"/>
          <w:szCs w:val="32"/>
          <w:lang w:val="en-US"/>
        </w:rPr>
        <w:t>本</w:t>
      </w:r>
      <w:r>
        <w:rPr>
          <w:rFonts w:hint="eastAsia" w:ascii="仿宋_GB2312" w:hAnsi="仿宋_GB2312" w:eastAsia="仿宋_GB2312" w:cs="仿宋_GB2312"/>
          <w:sz w:val="32"/>
          <w:szCs w:val="32"/>
          <w:lang w:val="en-US"/>
        </w:rPr>
        <w:t>年度学会科研规划课题</w:t>
      </w:r>
      <w:r>
        <w:rPr>
          <w:rFonts w:hint="eastAsia" w:ascii="仿宋_GB2312" w:hAnsi="仿宋_GB2312" w:eastAsia="仿宋_GB2312" w:cs="仿宋_GB2312"/>
          <w:sz w:val="32"/>
          <w:szCs w:val="32"/>
          <w:lang w:val="en-US" w:eastAsia="zh-CN"/>
        </w:rPr>
        <w:t>继续</w:t>
      </w:r>
      <w:r>
        <w:rPr>
          <w:rFonts w:hint="eastAsia" w:ascii="仿宋_GB2312" w:hAnsi="仿宋_GB2312" w:eastAsia="仿宋_GB2312" w:cs="仿宋_GB2312"/>
          <w:sz w:val="32"/>
          <w:szCs w:val="32"/>
          <w:lang w:val="en-US"/>
        </w:rPr>
        <w:t>采用</w:t>
      </w:r>
      <w:r>
        <w:rPr>
          <w:rFonts w:hint="eastAsia" w:ascii="仿宋_GB2312" w:hAnsi="仿宋_GB2312" w:eastAsia="仿宋_GB2312" w:cs="仿宋_GB2312"/>
          <w:sz w:val="32"/>
          <w:szCs w:val="32"/>
          <w:lang w:val="en-US" w:eastAsia="zh-CN"/>
        </w:rPr>
        <w:t>学会科研管理系统</w:t>
      </w:r>
      <w:r>
        <w:rPr>
          <w:rFonts w:hint="eastAsia" w:ascii="仿宋_GB2312" w:hAnsi="仿宋_GB2312" w:eastAsia="仿宋_GB2312" w:cs="仿宋_GB2312"/>
          <w:sz w:val="32"/>
          <w:szCs w:val="32"/>
          <w:lang w:val="en-US"/>
        </w:rPr>
        <w:t>进行课题申报</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lang w:val="en-US"/>
        </w:rPr>
        <w:t>管理</w:t>
      </w:r>
      <w:r>
        <w:rPr>
          <w:rFonts w:hint="eastAsia" w:ascii="仿宋_GB2312" w:hAnsi="仿宋_GB2312" w:eastAsia="仿宋_GB2312" w:cs="仿宋_GB2312"/>
          <w:sz w:val="32"/>
          <w:szCs w:val="32"/>
          <w:lang w:val="en-US" w:eastAsia="zh-CN"/>
        </w:rPr>
        <w:t>与评审</w:t>
      </w:r>
      <w:r>
        <w:rPr>
          <w:rFonts w:hint="eastAsia" w:ascii="仿宋_GB2312" w:hAnsi="仿宋_GB2312" w:eastAsia="仿宋_GB2312" w:cs="仿宋_GB2312"/>
          <w:sz w:val="32"/>
          <w:szCs w:val="32"/>
          <w:lang w:val="en-US"/>
        </w:rPr>
        <w:t>工作（申请人操作手册见附件</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lang w:val="en-US"/>
        </w:rPr>
        <w:t>、单位管理员操作手册见附件</w:t>
      </w: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lang w:val="en-US"/>
        </w:rPr>
        <w:t>）。申请人向单位管理员提交课题申报材料，单位管理员将申请人基本信息导入课题申报管理系统生成申请人的系统账号，生成账号后，申请人自主登录系统进行项目申报材料的填写和上传。申请人在系统申报项目后，由单位管理员初审，初审通过后提交学会进行审核。学会统一组织专家评审，评审完成后将立项结果登记/导入至系统，申请人及管理员可自行在系统查看立项结果。</w:t>
      </w:r>
    </w:p>
    <w:p w14:paraId="3C36874B">
      <w:pPr>
        <w:spacing w:line="560" w:lineRule="exact"/>
        <w:ind w:firstLine="640" w:firstLineChars="200"/>
        <w:jc w:val="both"/>
        <w:rPr>
          <w:rFonts w:hint="eastAsia" w:ascii="黑体" w:hAnsi="黑体" w:eastAsia="黑体" w:cs="黑体"/>
          <w:sz w:val="32"/>
          <w:szCs w:val="32"/>
          <w:lang w:val="en-US"/>
        </w:rPr>
      </w:pPr>
      <w:r>
        <w:rPr>
          <w:rFonts w:hint="eastAsia" w:ascii="黑体" w:hAnsi="黑体" w:eastAsia="黑体" w:cs="黑体"/>
          <w:sz w:val="32"/>
          <w:szCs w:val="32"/>
          <w:lang w:val="en-US"/>
        </w:rPr>
        <w:t>四、其他事项</w:t>
      </w:r>
    </w:p>
    <w:p w14:paraId="12F112BA">
      <w:pPr>
        <w:spacing w:line="560" w:lineRule="exact"/>
        <w:ind w:firstLine="640" w:firstLineChars="200"/>
        <w:jc w:val="both"/>
        <w:rPr>
          <w:rFonts w:hint="default" w:ascii="仿宋_GB2312" w:hAnsi="仿宋_GB2312" w:eastAsia="仿宋_GB2312" w:cs="仿宋_GB2312"/>
          <w:sz w:val="32"/>
          <w:szCs w:val="32"/>
          <w:lang w:val="en-US"/>
        </w:rPr>
      </w:pPr>
      <w:r>
        <w:rPr>
          <w:rFonts w:hint="eastAsia" w:ascii="仿宋_GB2312" w:hAnsi="仿宋_GB2312" w:eastAsia="仿宋_GB2312" w:cs="仿宋_GB2312"/>
          <w:sz w:val="32"/>
          <w:szCs w:val="32"/>
        </w:rPr>
        <w:t>1.本年度立项课题均为自筹经费项目</w:t>
      </w:r>
      <w:r>
        <w:rPr>
          <w:rFonts w:hint="eastAsia" w:ascii="仿宋_GB2312" w:hAnsi="仿宋_GB2312" w:eastAsia="仿宋_GB2312" w:cs="仿宋_GB2312"/>
          <w:sz w:val="32"/>
          <w:szCs w:val="32"/>
          <w:lang w:val="en-US" w:eastAsia="zh-CN"/>
        </w:rPr>
        <w:t>。</w:t>
      </w:r>
    </w:p>
    <w:p w14:paraId="431EFA41">
      <w:pPr>
        <w:spacing w:line="560" w:lineRule="exact"/>
        <w:ind w:firstLine="640" w:firstLineChars="200"/>
        <w:jc w:val="both"/>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2.材料申报集中受理时间：</w:t>
      </w:r>
      <w:r>
        <w:rPr>
          <w:rFonts w:hint="eastAsia" w:ascii="仿宋_GB2312" w:hAnsi="仿宋_GB2312" w:eastAsia="仿宋_GB2312" w:cs="仿宋_GB2312"/>
          <w:sz w:val="32"/>
          <w:szCs w:val="32"/>
          <w:lang w:val="en-US" w:eastAsia="zh-CN"/>
        </w:rPr>
        <w:t>2026</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val="en-US" w:eastAsia="zh-CN"/>
        </w:rPr>
        <w:t>10</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日至</w:t>
      </w:r>
      <w:r>
        <w:rPr>
          <w:rFonts w:hint="eastAsia" w:ascii="仿宋_GB2312" w:hAnsi="仿宋_GB2312" w:eastAsia="仿宋_GB2312" w:cs="仿宋_GB2312"/>
          <w:sz w:val="32"/>
          <w:szCs w:val="32"/>
          <w:lang w:val="en-US" w:eastAsia="zh-CN"/>
        </w:rPr>
        <w:t>10</w:t>
      </w:r>
      <w:r>
        <w:rPr>
          <w:rFonts w:hint="eastAsia" w:ascii="仿宋_GB2312" w:hAnsi="仿宋_GB2312" w:eastAsia="仿宋_GB2312" w:cs="仿宋_GB2312"/>
          <w:sz w:val="32"/>
          <w:szCs w:val="32"/>
          <w:lang w:val="en-US"/>
        </w:rPr>
        <w:t>月</w:t>
      </w:r>
      <w:r>
        <w:rPr>
          <w:rFonts w:hint="eastAsia" w:ascii="仿宋_GB2312" w:hAnsi="仿宋_GB2312" w:eastAsia="仿宋_GB2312" w:cs="仿宋_GB2312"/>
          <w:sz w:val="32"/>
          <w:szCs w:val="32"/>
          <w:lang w:val="en-US" w:eastAsia="zh-CN"/>
        </w:rPr>
        <w:t>31</w:t>
      </w:r>
      <w:r>
        <w:rPr>
          <w:rFonts w:hint="eastAsia" w:ascii="仿宋_GB2312" w:hAnsi="仿宋_GB2312" w:eastAsia="仿宋_GB2312" w:cs="仿宋_GB2312"/>
          <w:sz w:val="32"/>
          <w:szCs w:val="32"/>
        </w:rPr>
        <w:t>日。请各申报人在该时间段内登录科研规划课题申报与管理平台进行课题申报，逾期不予受理。</w:t>
      </w:r>
    </w:p>
    <w:p w14:paraId="4959C290">
      <w:pPr>
        <w:spacing w:line="560" w:lineRule="exact"/>
        <w:ind w:firstLine="640"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w:t>
      </w:r>
      <w:r>
        <w:rPr>
          <w:rFonts w:hint="eastAsia" w:ascii="仿宋_GB2312" w:hAnsi="仿宋_GB2312" w:eastAsia="仿宋_GB2312" w:cs="仿宋_GB2312"/>
          <w:sz w:val="32"/>
          <w:szCs w:val="32"/>
          <w:lang w:val="en-US"/>
        </w:rPr>
        <w:t>本年度</w:t>
      </w:r>
      <w:r>
        <w:rPr>
          <w:rFonts w:hint="eastAsia" w:ascii="仿宋_GB2312" w:hAnsi="仿宋_GB2312" w:eastAsia="仿宋_GB2312" w:cs="仿宋_GB2312"/>
          <w:sz w:val="32"/>
          <w:szCs w:val="32"/>
        </w:rPr>
        <w:t>课题申报不收</w:t>
      </w:r>
      <w:r>
        <w:rPr>
          <w:rFonts w:hint="eastAsia" w:ascii="仿宋_GB2312" w:hAnsi="仿宋_GB2312" w:eastAsia="仿宋_GB2312" w:cs="仿宋_GB2312"/>
          <w:sz w:val="32"/>
          <w:szCs w:val="32"/>
          <w:lang w:val="en-US"/>
        </w:rPr>
        <w:t>任何</w:t>
      </w:r>
      <w:r>
        <w:rPr>
          <w:rFonts w:hint="eastAsia" w:ascii="仿宋_GB2312" w:hAnsi="仿宋_GB2312" w:eastAsia="仿宋_GB2312" w:cs="仿宋_GB2312"/>
          <w:sz w:val="32"/>
          <w:szCs w:val="32"/>
        </w:rPr>
        <w:t>费</w:t>
      </w:r>
      <w:r>
        <w:rPr>
          <w:rFonts w:hint="eastAsia" w:ascii="仿宋_GB2312" w:hAnsi="仿宋_GB2312" w:eastAsia="仿宋_GB2312" w:cs="仿宋_GB2312"/>
          <w:sz w:val="32"/>
          <w:szCs w:val="32"/>
          <w:lang w:val="en-US"/>
        </w:rPr>
        <w:t>用</w:t>
      </w:r>
      <w:r>
        <w:rPr>
          <w:rFonts w:hint="eastAsia" w:ascii="仿宋_GB2312" w:hAnsi="仿宋_GB2312" w:eastAsia="仿宋_GB2312" w:cs="仿宋_GB2312"/>
          <w:sz w:val="32"/>
          <w:szCs w:val="32"/>
        </w:rPr>
        <w:t>。</w:t>
      </w:r>
    </w:p>
    <w:p w14:paraId="1389DC77">
      <w:pPr>
        <w:spacing w:line="560" w:lineRule="exact"/>
        <w:ind w:firstLine="640" w:firstLineChars="200"/>
        <w:jc w:val="both"/>
        <w:rPr>
          <w:rFonts w:hint="eastAsia" w:ascii="仿宋_GB2312" w:hAnsi="仿宋_GB2312" w:eastAsia="仿宋_GB2312" w:cs="仿宋_GB2312"/>
          <w:sz w:val="32"/>
          <w:szCs w:val="32"/>
          <w:lang w:val="en-US"/>
        </w:rPr>
      </w:pPr>
      <w:r>
        <w:rPr>
          <w:rFonts w:hint="eastAsia" w:ascii="仿宋_GB2312" w:hAnsi="仿宋_GB2312" w:eastAsia="仿宋_GB2312" w:cs="仿宋_GB2312"/>
          <w:sz w:val="32"/>
          <w:szCs w:val="32"/>
          <w:lang w:val="en-US"/>
        </w:rPr>
        <w:t>4.单位管理员请加入QQ群：975135116。</w:t>
      </w:r>
    </w:p>
    <w:p w14:paraId="6D8C84F0">
      <w:pPr>
        <w:spacing w:line="560" w:lineRule="exact"/>
        <w:ind w:firstLine="640" w:firstLineChars="200"/>
        <w:jc w:val="both"/>
        <w:rPr>
          <w:rFonts w:ascii="仿宋_GB2312" w:hAnsi="仿宋_GB2312" w:eastAsia="仿宋_GB2312" w:cs="仿宋_GB2312"/>
          <w:sz w:val="32"/>
          <w:szCs w:val="32"/>
          <w:lang w:val="en-US"/>
        </w:rPr>
      </w:pPr>
      <w:r>
        <w:rPr>
          <w:rFonts w:hint="eastAsia" w:ascii="仿宋_GB2312" w:hAnsi="仿宋_GB2312" w:eastAsia="仿宋_GB2312" w:cs="仿宋_GB2312"/>
          <w:sz w:val="32"/>
          <w:szCs w:val="32"/>
          <w:lang w:val="en-US"/>
        </w:rPr>
        <w:t>5.科研规划课题申报与管理平台入口：</w:t>
      </w:r>
    </w:p>
    <w:p w14:paraId="34D5D9F6">
      <w:pPr>
        <w:spacing w:line="560" w:lineRule="exact"/>
        <w:ind w:firstLine="640" w:firstLineChars="200"/>
        <w:jc w:val="both"/>
        <w:rPr>
          <w:rFonts w:ascii="仿宋_GB2312" w:hAnsi="仿宋_GB2312" w:eastAsia="仿宋_GB2312" w:cs="仿宋_GB2312"/>
          <w:sz w:val="32"/>
          <w:szCs w:val="32"/>
          <w:lang w:val="en-US"/>
        </w:rPr>
      </w:pPr>
      <w:r>
        <w:rPr>
          <w:rFonts w:hint="eastAsia" w:ascii="仿宋_GB2312" w:hAnsi="仿宋_GB2312" w:eastAsia="仿宋_GB2312" w:cs="仿宋_GB2312"/>
          <w:sz w:val="32"/>
          <w:szCs w:val="32"/>
          <w:lang w:val="en-US"/>
        </w:rPr>
        <w:t xml:space="preserve">http://xmgl.hsvae.com/jgxmgl/#/login </w:t>
      </w:r>
    </w:p>
    <w:p w14:paraId="2ADB8604">
      <w:pPr>
        <w:spacing w:line="560" w:lineRule="exact"/>
        <w:ind w:firstLine="640" w:firstLineChars="200"/>
        <w:jc w:val="both"/>
        <w:rPr>
          <w:rFonts w:hint="eastAsia" w:ascii="仿宋_GB2312" w:hAnsi="仿宋_GB2312" w:eastAsia="仿宋_GB2312" w:cs="仿宋_GB2312"/>
          <w:sz w:val="32"/>
          <w:szCs w:val="32"/>
          <w:lang w:val="en-US"/>
        </w:rPr>
      </w:pPr>
      <w:r>
        <w:rPr>
          <w:rFonts w:hint="eastAsia" w:ascii="仿宋_GB2312" w:hAnsi="仿宋_GB2312" w:eastAsia="仿宋_GB2312" w:cs="仿宋_GB2312"/>
          <w:sz w:val="32"/>
          <w:szCs w:val="32"/>
          <w:lang w:val="en-US"/>
        </w:rPr>
        <w:t>6.学会邮箱：hnzcxh2024@163.com。</w:t>
      </w:r>
    </w:p>
    <w:p w14:paraId="42B1178D">
      <w:pPr>
        <w:spacing w:line="560" w:lineRule="exact"/>
        <w:ind w:firstLine="640"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rPr>
        <w:t>7</w:t>
      </w:r>
      <w:r>
        <w:rPr>
          <w:rFonts w:hint="eastAsia" w:ascii="仿宋_GB2312" w:hAnsi="仿宋_GB2312" w:eastAsia="仿宋_GB2312" w:cs="仿宋_GB2312"/>
          <w:sz w:val="32"/>
          <w:szCs w:val="32"/>
        </w:rPr>
        <w:t>.学会秘书处联系方式</w:t>
      </w:r>
    </w:p>
    <w:p w14:paraId="1EE15CBC">
      <w:pPr>
        <w:spacing w:line="560" w:lineRule="exact"/>
        <w:ind w:firstLine="640" w:firstLineChars="200"/>
        <w:jc w:val="both"/>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联 系 人：</w:t>
      </w:r>
      <w:r>
        <w:rPr>
          <w:rFonts w:hint="eastAsia" w:ascii="仿宋_GB2312" w:hAnsi="仿宋_GB2312" w:eastAsia="仿宋_GB2312" w:cs="仿宋_GB2312"/>
          <w:sz w:val="32"/>
          <w:szCs w:val="32"/>
          <w:lang w:val="en-US"/>
        </w:rPr>
        <w:t>周玲、邹雅茹</w:t>
      </w:r>
    </w:p>
    <w:p w14:paraId="46AF49F9">
      <w:pPr>
        <w:spacing w:line="560" w:lineRule="exact"/>
        <w:ind w:firstLine="640" w:firstLineChars="200"/>
        <w:jc w:val="both"/>
        <w:rPr>
          <w:rFonts w:hint="eastAsia" w:ascii="仿宋_GB2312" w:hAnsi="仿宋_GB2312" w:eastAsia="仿宋_GB2312" w:cs="仿宋_GB2312"/>
          <w:sz w:val="32"/>
          <w:szCs w:val="32"/>
          <w:lang w:val="en-US"/>
        </w:rPr>
      </w:pPr>
      <w:r>
        <w:rPr>
          <w:rFonts w:hint="eastAsia" w:ascii="仿宋_GB2312" w:hAnsi="仿宋_GB2312" w:eastAsia="仿宋_GB2312" w:cs="仿宋_GB2312"/>
          <w:sz w:val="32"/>
          <w:szCs w:val="32"/>
        </w:rPr>
        <w:t>联系电话：</w:t>
      </w:r>
      <w:r>
        <w:rPr>
          <w:rFonts w:hint="eastAsia" w:ascii="仿宋_GB2312" w:hAnsi="仿宋_GB2312" w:eastAsia="仿宋_GB2312" w:cs="仿宋_GB2312"/>
          <w:sz w:val="32"/>
          <w:szCs w:val="32"/>
          <w:lang w:val="en-US"/>
        </w:rPr>
        <w:t>15574326936（周老师）、18711009297（邹老师）</w:t>
      </w:r>
    </w:p>
    <w:p w14:paraId="4DB5BFB4">
      <w:pPr>
        <w:spacing w:line="560" w:lineRule="exact"/>
        <w:ind w:firstLine="640"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通讯地址：</w:t>
      </w:r>
      <w:r>
        <w:rPr>
          <w:rFonts w:hint="eastAsia" w:ascii="仿宋_GB2312" w:hAnsi="仿宋_GB2312" w:eastAsia="仿宋_GB2312" w:cs="仿宋_GB2312"/>
          <w:sz w:val="32"/>
          <w:szCs w:val="32"/>
          <w:lang w:val="en-US"/>
        </w:rPr>
        <w:t>湖南省长沙市雨花区香樟路421号长沙民政职业技术学院</w:t>
      </w:r>
      <w:r>
        <w:rPr>
          <w:rFonts w:hint="eastAsia" w:ascii="仿宋_GB2312" w:hAnsi="仿宋_GB2312" w:eastAsia="仿宋_GB2312" w:cs="仿宋_GB2312"/>
          <w:sz w:val="32"/>
          <w:szCs w:val="32"/>
        </w:rPr>
        <w:t>。</w:t>
      </w:r>
    </w:p>
    <w:p w14:paraId="383CA2A7">
      <w:pPr>
        <w:spacing w:line="560" w:lineRule="exact"/>
        <w:ind w:left="1569" w:leftChars="290" w:hanging="960" w:hangingChars="300"/>
        <w:jc w:val="both"/>
        <w:rPr>
          <w:rFonts w:hint="eastAsia" w:ascii="仿宋_GB2312" w:hAnsi="仿宋_GB2312" w:eastAsia="仿宋_GB2312" w:cs="仿宋_GB2312"/>
          <w:sz w:val="32"/>
          <w:szCs w:val="32"/>
        </w:rPr>
      </w:pPr>
    </w:p>
    <w:p w14:paraId="17D6E19B">
      <w:pPr>
        <w:spacing w:line="560" w:lineRule="exact"/>
        <w:ind w:left="1569" w:leftChars="290" w:hanging="960" w:hangingChars="300"/>
        <w:jc w:val="both"/>
        <w:rPr>
          <w:rFonts w:hint="eastAsia" w:ascii="仿宋_GB2312" w:hAnsi="仿宋_GB2312" w:eastAsia="仿宋_GB2312" w:cs="仿宋_GB2312"/>
          <w:sz w:val="32"/>
          <w:szCs w:val="32"/>
          <w:lang w:val="en-US"/>
        </w:rPr>
      </w:pPr>
      <w:r>
        <w:rPr>
          <w:rFonts w:hint="eastAsia" w:ascii="仿宋_GB2312" w:hAnsi="仿宋_GB2312" w:eastAsia="仿宋_GB2312" w:cs="仿宋_GB2312"/>
          <w:sz w:val="32"/>
          <w:szCs w:val="32"/>
        </w:rPr>
        <w:t>附</w:t>
      </w:r>
      <w:r>
        <w:rPr>
          <w:rFonts w:hint="eastAsia" w:ascii="仿宋_GB2312" w:hAnsi="仿宋_GB2312" w:eastAsia="仿宋_GB2312" w:cs="仿宋_GB2312"/>
          <w:sz w:val="32"/>
          <w:szCs w:val="32"/>
          <w:lang w:val="en-US"/>
        </w:rPr>
        <w:t>：1.湖南省职业教育与成人教育学会科研规划课题指南（</w:t>
      </w:r>
      <w:r>
        <w:rPr>
          <w:rFonts w:hint="eastAsia" w:ascii="仿宋_GB2312" w:hAnsi="仿宋_GB2312" w:eastAsia="仿宋_GB2312" w:cs="仿宋_GB2312"/>
          <w:sz w:val="32"/>
          <w:szCs w:val="32"/>
          <w:lang w:val="en-US" w:eastAsia="zh-CN"/>
        </w:rPr>
        <w:t>2026年</w:t>
      </w:r>
      <w:r>
        <w:rPr>
          <w:rFonts w:hint="eastAsia" w:ascii="仿宋_GB2312" w:hAnsi="仿宋_GB2312" w:eastAsia="仿宋_GB2312" w:cs="仿宋_GB2312"/>
          <w:sz w:val="32"/>
          <w:szCs w:val="32"/>
          <w:lang w:val="en-US"/>
        </w:rPr>
        <w:t>）</w:t>
      </w:r>
    </w:p>
    <w:p w14:paraId="2999A47E">
      <w:pPr>
        <w:keepNext w:val="0"/>
        <w:keepLines w:val="0"/>
        <w:pageBreakBefore w:val="0"/>
        <w:widowControl w:val="0"/>
        <w:kinsoku/>
        <w:wordWrap/>
        <w:overflowPunct/>
        <w:topLinePunct w:val="0"/>
        <w:autoSpaceDE/>
        <w:autoSpaceDN/>
        <w:bidi w:val="0"/>
        <w:adjustRightInd/>
        <w:snapToGrid/>
        <w:spacing w:line="560" w:lineRule="atLeast"/>
        <w:ind w:left="1538" w:leftChars="580" w:hanging="320" w:hangingChars="100"/>
        <w:jc w:val="both"/>
        <w:textAlignment w:val="auto"/>
        <w:rPr>
          <w:rFonts w:hint="eastAsia" w:ascii="仿宋_GB2312" w:hAnsi="仿宋_GB2312" w:eastAsia="仿宋_GB2312" w:cs="仿宋_GB2312"/>
          <w:sz w:val="32"/>
          <w:szCs w:val="32"/>
          <w:lang w:val="en-US"/>
        </w:rPr>
      </w:pPr>
      <w:r>
        <w:rPr>
          <w:rFonts w:hint="eastAsia" w:ascii="仿宋_GB2312" w:hAnsi="仿宋_GB2312" w:eastAsia="仿宋_GB2312" w:cs="仿宋_GB2312"/>
          <w:sz w:val="32"/>
          <w:szCs w:val="32"/>
          <w:lang w:val="en-US"/>
        </w:rPr>
        <w:t>2.</w:t>
      </w:r>
      <w:r>
        <w:rPr>
          <w:rFonts w:hint="eastAsia" w:ascii="仿宋_GB2312" w:hAnsi="仿宋_GB2312" w:eastAsia="仿宋_GB2312" w:cs="仿宋_GB2312"/>
          <w:spacing w:val="-11"/>
          <w:sz w:val="32"/>
          <w:szCs w:val="32"/>
          <w:lang w:val="en-US"/>
        </w:rPr>
        <w:t>湖南省职业教育与成人教育学会科研规划课题申报表</w:t>
      </w:r>
    </w:p>
    <w:p w14:paraId="06483D8F">
      <w:pPr>
        <w:keepNext w:val="0"/>
        <w:keepLines w:val="0"/>
        <w:pageBreakBefore w:val="0"/>
        <w:widowControl w:val="0"/>
        <w:kinsoku/>
        <w:wordWrap/>
        <w:overflowPunct/>
        <w:topLinePunct w:val="0"/>
        <w:autoSpaceDE/>
        <w:autoSpaceDN/>
        <w:bidi w:val="0"/>
        <w:adjustRightInd/>
        <w:snapToGrid/>
        <w:spacing w:line="560" w:lineRule="atLeast"/>
        <w:ind w:left="1538" w:leftChars="580" w:hanging="320" w:hangingChars="100"/>
        <w:jc w:val="both"/>
        <w:textAlignment w:val="auto"/>
        <w:rPr>
          <w:rFonts w:hint="eastAsia" w:ascii="仿宋_GB2312" w:hAnsi="仿宋_GB2312" w:eastAsia="仿宋_GB2312" w:cs="仿宋_GB2312"/>
          <w:sz w:val="32"/>
          <w:szCs w:val="32"/>
          <w:lang w:val="en-US"/>
        </w:rPr>
      </w:pPr>
      <w:r>
        <w:rPr>
          <w:rFonts w:hint="eastAsia" w:ascii="仿宋_GB2312" w:hAnsi="仿宋_GB2312" w:eastAsia="仿宋_GB2312" w:cs="仿宋_GB2312"/>
          <w:sz w:val="32"/>
          <w:szCs w:val="32"/>
          <w:lang w:val="en-US"/>
        </w:rPr>
        <w:t>3.</w:t>
      </w:r>
      <w:r>
        <w:rPr>
          <w:rFonts w:hint="eastAsia" w:ascii="仿宋_GB2312" w:hAnsi="仿宋_GB2312" w:eastAsia="仿宋_GB2312" w:cs="仿宋_GB2312"/>
          <w:sz w:val="32"/>
          <w:szCs w:val="32"/>
          <w:lang w:val="en-US" w:eastAsia="zh-CN"/>
        </w:rPr>
        <w:t>2026</w:t>
      </w:r>
      <w:r>
        <w:rPr>
          <w:rFonts w:hint="eastAsia" w:ascii="仿宋_GB2312" w:hAnsi="仿宋_GB2312" w:eastAsia="仿宋_GB2312" w:cs="仿宋_GB2312"/>
          <w:sz w:val="32"/>
          <w:szCs w:val="32"/>
          <w:lang w:val="en-US"/>
        </w:rPr>
        <w:t>年度湖南省职业教育与成人教育学会科研规划课题申报汇总表</w:t>
      </w:r>
    </w:p>
    <w:p w14:paraId="1C6E4AE1">
      <w:pPr>
        <w:keepNext w:val="0"/>
        <w:keepLines w:val="0"/>
        <w:pageBreakBefore w:val="0"/>
        <w:widowControl w:val="0"/>
        <w:kinsoku/>
        <w:wordWrap/>
        <w:overflowPunct/>
        <w:topLinePunct w:val="0"/>
        <w:autoSpaceDE/>
        <w:autoSpaceDN/>
        <w:bidi w:val="0"/>
        <w:adjustRightInd/>
        <w:snapToGrid/>
        <w:spacing w:line="560" w:lineRule="atLeast"/>
        <w:ind w:left="1538" w:leftChars="580" w:hanging="320" w:hangingChars="100"/>
        <w:jc w:val="both"/>
        <w:textAlignment w:val="auto"/>
        <w:rPr>
          <w:rFonts w:hint="eastAsia" w:ascii="仿宋_GB2312" w:hAnsi="仿宋_GB2312" w:eastAsia="仿宋_GB2312" w:cs="仿宋_GB2312"/>
          <w:sz w:val="32"/>
          <w:szCs w:val="32"/>
          <w:lang w:val="en-US"/>
        </w:rPr>
      </w:pPr>
      <w:r>
        <w:rPr>
          <w:rFonts w:hint="eastAsia" w:ascii="仿宋_GB2312" w:hAnsi="仿宋_GB2312" w:eastAsia="仿宋_GB2312" w:cs="仿宋_GB2312"/>
          <w:sz w:val="32"/>
          <w:szCs w:val="32"/>
          <w:lang w:val="en-US"/>
        </w:rPr>
        <w:t>4.湖南省职业教育与成人教育学会科研规划课题管理员信息表</w:t>
      </w:r>
    </w:p>
    <w:p w14:paraId="4E3B487E">
      <w:pPr>
        <w:keepNext w:val="0"/>
        <w:keepLines w:val="0"/>
        <w:pageBreakBefore w:val="0"/>
        <w:widowControl w:val="0"/>
        <w:kinsoku/>
        <w:wordWrap/>
        <w:overflowPunct/>
        <w:topLinePunct w:val="0"/>
        <w:autoSpaceDE/>
        <w:autoSpaceDN/>
        <w:bidi w:val="0"/>
        <w:adjustRightInd/>
        <w:snapToGrid/>
        <w:spacing w:line="560" w:lineRule="atLeast"/>
        <w:ind w:left="1538" w:leftChars="580" w:hanging="320" w:hangingChars="100"/>
        <w:jc w:val="both"/>
        <w:textAlignment w:val="auto"/>
        <w:rPr>
          <w:rFonts w:hint="eastAsia" w:ascii="仿宋_GB2312" w:hAnsi="仿宋_GB2312" w:eastAsia="仿宋_GB2312" w:cs="仿宋_GB2312"/>
          <w:sz w:val="32"/>
          <w:szCs w:val="32"/>
          <w:lang w:val="en-US"/>
        </w:rPr>
      </w:pP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lang w:val="en-US"/>
        </w:rPr>
        <w:t>.科研规划课题申报与管理平台操作手册（申请人）</w:t>
      </w:r>
    </w:p>
    <w:p w14:paraId="7A03DA56">
      <w:pPr>
        <w:keepNext w:val="0"/>
        <w:keepLines w:val="0"/>
        <w:pageBreakBefore w:val="0"/>
        <w:widowControl w:val="0"/>
        <w:kinsoku/>
        <w:wordWrap/>
        <w:overflowPunct/>
        <w:topLinePunct w:val="0"/>
        <w:autoSpaceDE/>
        <w:autoSpaceDN/>
        <w:bidi w:val="0"/>
        <w:adjustRightInd/>
        <w:snapToGrid/>
        <w:spacing w:line="560" w:lineRule="atLeast"/>
        <w:ind w:left="1538" w:leftChars="580" w:hanging="320" w:hangingChars="1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lang w:val="en-US"/>
        </w:rPr>
        <w:t>.科研规划课题申报与管理平台操作手册（管理员）</w:t>
      </w:r>
      <w:r>
        <w:rPr>
          <w:rFonts w:hint="eastAsia" w:ascii="仿宋_GB2312" w:hAnsi="仿宋_GB2312" w:eastAsia="仿宋_GB2312" w:cs="仿宋_GB2312"/>
          <w:sz w:val="32"/>
          <w:szCs w:val="32"/>
          <w:lang w:val="en-US" w:eastAsia="zh-CN"/>
        </w:rPr>
        <w:t xml:space="preserve"> </w:t>
      </w:r>
    </w:p>
    <w:p w14:paraId="161AB8F3">
      <w:pPr>
        <w:keepNext w:val="0"/>
        <w:keepLines w:val="0"/>
        <w:pageBreakBefore w:val="0"/>
        <w:widowControl w:val="0"/>
        <w:kinsoku/>
        <w:wordWrap/>
        <w:overflowPunct/>
        <w:topLinePunct w:val="0"/>
        <w:autoSpaceDE/>
        <w:autoSpaceDN/>
        <w:bidi w:val="0"/>
        <w:adjustRightInd/>
        <w:snapToGrid/>
        <w:spacing w:line="560" w:lineRule="atLeast"/>
        <w:ind w:left="1538" w:leftChars="580" w:hanging="320" w:hangingChars="100"/>
        <w:jc w:val="both"/>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7.诚信承诺书</w:t>
      </w:r>
    </w:p>
    <w:p w14:paraId="1A35F8E7">
      <w:pPr>
        <w:keepNext w:val="0"/>
        <w:keepLines w:val="0"/>
        <w:pageBreakBefore w:val="0"/>
        <w:widowControl w:val="0"/>
        <w:kinsoku/>
        <w:wordWrap/>
        <w:overflowPunct/>
        <w:topLinePunct w:val="0"/>
        <w:autoSpaceDE/>
        <w:autoSpaceDN/>
        <w:bidi w:val="0"/>
        <w:adjustRightInd/>
        <w:snapToGrid/>
        <w:spacing w:line="560" w:lineRule="atLeast"/>
        <w:ind w:firstLine="640" w:firstLineChars="200"/>
        <w:jc w:val="both"/>
        <w:textAlignment w:val="auto"/>
        <w:rPr>
          <w:rFonts w:hint="eastAsia" w:ascii="仿宋_GB2312" w:hAnsi="仿宋_GB2312" w:eastAsia="仿宋_GB2312" w:cs="仿宋_GB2312"/>
          <w:sz w:val="32"/>
          <w:szCs w:val="32"/>
          <w:lang w:val="en-US"/>
        </w:rPr>
      </w:pPr>
    </w:p>
    <w:p w14:paraId="1C9285BB">
      <w:pPr>
        <w:spacing w:line="560" w:lineRule="exact"/>
        <w:ind w:firstLine="3840" w:firstLineChars="1200"/>
        <w:jc w:val="both"/>
        <w:rPr>
          <w:rFonts w:hint="eastAsia" w:ascii="仿宋_GB2312" w:hAnsi="仿宋_GB2312" w:eastAsia="仿宋_GB2312" w:cs="仿宋_GB2312"/>
          <w:sz w:val="32"/>
          <w:szCs w:val="32"/>
          <w:lang w:val="en-US"/>
        </w:rPr>
      </w:pPr>
    </w:p>
    <w:p w14:paraId="239A795B">
      <w:pPr>
        <w:spacing w:line="560" w:lineRule="exact"/>
        <w:ind w:firstLine="3840" w:firstLineChars="1200"/>
        <w:jc w:val="both"/>
        <w:rPr>
          <w:rFonts w:hint="eastAsia" w:ascii="仿宋_GB2312" w:hAnsi="仿宋_GB2312" w:eastAsia="仿宋_GB2312" w:cs="仿宋_GB2312"/>
          <w:sz w:val="32"/>
          <w:szCs w:val="32"/>
          <w:lang w:val="en-US"/>
        </w:rPr>
      </w:pPr>
      <w:r>
        <w:rPr>
          <w:rFonts w:hint="eastAsia" w:ascii="仿宋_GB2312" w:hAnsi="仿宋_GB2312" w:eastAsia="仿宋_GB2312" w:cs="仿宋_GB2312"/>
          <w:sz w:val="32"/>
          <w:szCs w:val="32"/>
          <w:lang w:val="en-US"/>
        </w:rPr>
        <w:t>湖南省职业教育与成人教育学会</w:t>
      </w:r>
    </w:p>
    <w:p w14:paraId="782E5DD0">
      <w:pPr>
        <w:pStyle w:val="4"/>
        <w:spacing w:before="41" w:line="560" w:lineRule="exact"/>
        <w:ind w:firstLine="4800" w:firstLineChars="1500"/>
        <w:rPr>
          <w:rFonts w:hint="eastAsia" w:ascii="仿宋_GB2312" w:hAnsi="仿宋_GB2312" w:eastAsia="仿宋_GB2312" w:cs="仿宋_GB2312"/>
          <w:sz w:val="32"/>
          <w:szCs w:val="32"/>
          <w:lang w:val="en-US"/>
        </w:rPr>
      </w:pPr>
      <w:r>
        <w:rPr>
          <w:rFonts w:hint="eastAsia" w:ascii="仿宋_GB2312" w:hAnsi="仿宋_GB2312" w:eastAsia="仿宋_GB2312" w:cs="仿宋_GB2312"/>
          <w:sz w:val="32"/>
          <w:szCs w:val="32"/>
          <w:lang w:val="en-US" w:eastAsia="zh-CN"/>
        </w:rPr>
        <w:t>2026</w:t>
      </w:r>
      <w:r>
        <w:rPr>
          <w:rFonts w:hint="eastAsia" w:ascii="仿宋_GB2312" w:hAnsi="仿宋_GB2312" w:eastAsia="仿宋_GB2312" w:cs="仿宋_GB2312"/>
          <w:sz w:val="32"/>
          <w:szCs w:val="32"/>
          <w:lang w:val="en-US"/>
        </w:rPr>
        <w:t>年</w:t>
      </w:r>
      <w:r>
        <w:rPr>
          <w:rFonts w:hint="eastAsia" w:ascii="仿宋_GB2312" w:hAnsi="仿宋_GB2312" w:eastAsia="仿宋_GB2312" w:cs="仿宋_GB2312"/>
          <w:sz w:val="32"/>
          <w:szCs w:val="32"/>
          <w:lang w:val="en-US" w:eastAsia="zh-CN"/>
        </w:rPr>
        <w:t>9</w:t>
      </w:r>
      <w:r>
        <w:rPr>
          <w:rFonts w:hint="eastAsia" w:ascii="仿宋_GB2312" w:hAnsi="仿宋_GB2312" w:eastAsia="仿宋_GB2312" w:cs="仿宋_GB2312"/>
          <w:sz w:val="32"/>
          <w:szCs w:val="32"/>
          <w:lang w:val="en-US"/>
        </w:rPr>
        <w:t>月</w:t>
      </w:r>
      <w:r>
        <w:rPr>
          <w:rFonts w:hint="eastAsia" w:ascii="仿宋_GB2312" w:hAnsi="仿宋_GB2312" w:eastAsia="仿宋_GB2312" w:cs="仿宋_GB2312"/>
          <w:sz w:val="32"/>
          <w:szCs w:val="32"/>
          <w:lang w:val="en-US" w:eastAsia="zh-CN"/>
        </w:rPr>
        <w:t>15</w:t>
      </w:r>
      <w:r>
        <w:rPr>
          <w:rFonts w:hint="eastAsia" w:ascii="仿宋_GB2312" w:hAnsi="仿宋_GB2312" w:eastAsia="仿宋_GB2312" w:cs="仿宋_GB2312"/>
          <w:sz w:val="32"/>
          <w:szCs w:val="32"/>
          <w:lang w:val="en-US"/>
        </w:rPr>
        <w:t>日</w:t>
      </w:r>
    </w:p>
    <w:p w14:paraId="380E8A19">
      <w:pPr>
        <w:pStyle w:val="4"/>
        <w:spacing w:before="41" w:line="560" w:lineRule="exact"/>
        <w:ind w:firstLine="4800" w:firstLineChars="1500"/>
        <w:rPr>
          <w:rFonts w:hint="eastAsia" w:ascii="仿宋_GB2312" w:hAnsi="仿宋_GB2312" w:eastAsia="仿宋_GB2312" w:cs="仿宋_GB2312"/>
          <w:sz w:val="32"/>
          <w:szCs w:val="32"/>
          <w:lang w:val="en-US"/>
        </w:rPr>
      </w:pPr>
    </w:p>
    <w:p w14:paraId="5D17E946">
      <w:pPr>
        <w:pStyle w:val="4"/>
        <w:spacing w:before="41" w:line="560" w:lineRule="exact"/>
        <w:ind w:firstLine="4800" w:firstLineChars="1500"/>
        <w:rPr>
          <w:rFonts w:hint="eastAsia" w:ascii="仿宋_GB2312" w:hAnsi="仿宋_GB2312" w:eastAsia="仿宋_GB2312" w:cs="仿宋_GB2312"/>
          <w:sz w:val="32"/>
          <w:szCs w:val="32"/>
          <w:lang w:val="en-US"/>
        </w:rPr>
      </w:pPr>
    </w:p>
    <w:p w14:paraId="342CB170">
      <w:pPr>
        <w:pStyle w:val="4"/>
        <w:spacing w:before="41" w:line="560" w:lineRule="exact"/>
        <w:ind w:firstLine="4800" w:firstLineChars="1500"/>
        <w:rPr>
          <w:rFonts w:hint="eastAsia" w:ascii="仿宋_GB2312" w:hAnsi="仿宋_GB2312" w:eastAsia="仿宋_GB2312" w:cs="仿宋_GB2312"/>
          <w:sz w:val="32"/>
          <w:szCs w:val="32"/>
          <w:lang w:val="en-US"/>
        </w:rPr>
      </w:pPr>
    </w:p>
    <w:p w14:paraId="25A83A61">
      <w:pPr>
        <w:pStyle w:val="4"/>
        <w:spacing w:before="41" w:line="560" w:lineRule="exact"/>
        <w:ind w:firstLine="4800" w:firstLineChars="1500"/>
        <w:rPr>
          <w:rFonts w:hint="eastAsia" w:ascii="仿宋_GB2312" w:hAnsi="仿宋_GB2312" w:eastAsia="仿宋_GB2312" w:cs="仿宋_GB2312"/>
          <w:sz w:val="32"/>
          <w:szCs w:val="32"/>
          <w:lang w:val="en-US"/>
        </w:rPr>
      </w:pPr>
    </w:p>
    <w:p w14:paraId="364DE431">
      <w:pPr>
        <w:pStyle w:val="4"/>
        <w:spacing w:before="41" w:line="560" w:lineRule="exact"/>
        <w:ind w:firstLine="4800" w:firstLineChars="1500"/>
        <w:rPr>
          <w:rFonts w:hint="eastAsia" w:ascii="仿宋_GB2312" w:hAnsi="仿宋_GB2312" w:eastAsia="仿宋_GB2312" w:cs="仿宋_GB2312"/>
          <w:sz w:val="32"/>
          <w:szCs w:val="32"/>
          <w:lang w:val="en-US"/>
        </w:rPr>
      </w:pPr>
    </w:p>
    <w:p w14:paraId="6B38697A">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spacing w:val="-11"/>
          <w:sz w:val="32"/>
          <w:szCs w:val="32"/>
          <w:lang w:val="en-US" w:eastAsia="zh-CN"/>
        </w:rPr>
      </w:pPr>
      <w:r>
        <w:rPr>
          <w:rFonts w:hint="eastAsia" w:ascii="仿宋_GB2312" w:hAnsi="仿宋_GB2312" w:eastAsia="仿宋_GB2312" w:cs="仿宋_GB2312"/>
          <w:spacing w:val="-11"/>
          <w:sz w:val="32"/>
          <w:szCs w:val="32"/>
          <w:lang w:val="en-US" w:eastAsia="zh-CN"/>
        </w:rPr>
        <w:t>附件一：</w:t>
      </w:r>
    </w:p>
    <w:p w14:paraId="14806E23">
      <w:pPr>
        <w:keepNext w:val="0"/>
        <w:keepLines w:val="0"/>
        <w:pageBreakBefore w:val="0"/>
        <w:widowControl/>
        <w:suppressLineNumbers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spacing w:line="460" w:lineRule="exact"/>
        <w:jc w:val="center"/>
        <w:textAlignment w:val="auto"/>
        <w:rPr>
          <w:rFonts w:hint="eastAsia" w:ascii="黑体" w:hAnsi="黑体" w:eastAsia="黑体" w:cs="黑体"/>
          <w:kern w:val="2"/>
          <w:sz w:val="32"/>
          <w:szCs w:val="32"/>
          <w:lang w:val="en-US" w:eastAsia="zh-CN" w:bidi="ar-SA"/>
        </w:rPr>
      </w:pPr>
    </w:p>
    <w:p w14:paraId="2B7273DA">
      <w:pPr>
        <w:keepNext w:val="0"/>
        <w:keepLines w:val="0"/>
        <w:pageBreakBefore w:val="0"/>
        <w:widowControl/>
        <w:suppressLineNumbers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spacing w:line="460" w:lineRule="exact"/>
        <w:jc w:val="center"/>
        <w:textAlignment w:val="auto"/>
        <w:rPr>
          <w:rFonts w:hint="eastAsia" w:ascii="黑体" w:hAnsi="黑体" w:eastAsia="黑体" w:cs="黑体"/>
          <w:kern w:val="2"/>
          <w:sz w:val="32"/>
          <w:szCs w:val="32"/>
          <w:lang w:val="en-US" w:eastAsia="zh-CN" w:bidi="ar-SA"/>
        </w:rPr>
      </w:pPr>
      <w:r>
        <w:rPr>
          <w:rFonts w:hint="eastAsia" w:ascii="黑体" w:hAnsi="黑体" w:eastAsia="黑体" w:cs="黑体"/>
          <w:kern w:val="2"/>
          <w:sz w:val="32"/>
          <w:szCs w:val="32"/>
          <w:lang w:val="en-US" w:eastAsia="zh-CN" w:bidi="ar-SA"/>
        </w:rPr>
        <w:t>湖南省职业教育与成人教育学会科研规划课题（2026年度）</w:t>
      </w:r>
    </w:p>
    <w:p w14:paraId="45A29F1F">
      <w:pPr>
        <w:keepNext w:val="0"/>
        <w:keepLines w:val="0"/>
        <w:pageBreakBefore w:val="0"/>
        <w:widowControl/>
        <w:suppressLineNumbers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spacing w:line="460" w:lineRule="exact"/>
        <w:jc w:val="center"/>
        <w:textAlignment w:val="auto"/>
        <w:rPr>
          <w:rFonts w:hint="eastAsia" w:ascii="黑体" w:hAnsi="黑体" w:eastAsia="黑体" w:cs="黑体"/>
          <w:kern w:val="0"/>
          <w:sz w:val="32"/>
          <w:szCs w:val="32"/>
          <w:lang w:val="en-US" w:eastAsia="zh-CN" w:bidi="ar"/>
        </w:rPr>
      </w:pPr>
      <w:r>
        <w:rPr>
          <w:rFonts w:hint="eastAsia" w:ascii="黑体" w:hAnsi="黑体" w:eastAsia="黑体" w:cs="黑体"/>
          <w:kern w:val="2"/>
          <w:sz w:val="32"/>
          <w:szCs w:val="32"/>
          <w:lang w:val="en-US" w:eastAsia="zh-CN" w:bidi="ar-SA"/>
        </w:rPr>
        <w:t>申报指南</w:t>
      </w:r>
    </w:p>
    <w:p w14:paraId="172DD89D">
      <w:pPr>
        <w:keepNext w:val="0"/>
        <w:keepLines w:val="0"/>
        <w:pageBreakBefore w:val="0"/>
        <w:widowControl/>
        <w:suppressLineNumbers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spacing w:line="460" w:lineRule="exact"/>
        <w:jc w:val="left"/>
        <w:textAlignment w:val="auto"/>
        <w:rPr>
          <w:rFonts w:hint="eastAsia" w:ascii="仿宋_GB2312" w:hAnsi="仿宋_GB2312" w:eastAsia="仿宋_GB2312" w:cs="仿宋_GB2312"/>
          <w:kern w:val="0"/>
          <w:sz w:val="28"/>
          <w:szCs w:val="28"/>
          <w:lang w:val="en-US" w:eastAsia="zh-CN" w:bidi="ar"/>
        </w:rPr>
      </w:pPr>
    </w:p>
    <w:p w14:paraId="4B83917C">
      <w:pPr>
        <w:keepNext w:val="0"/>
        <w:keepLines w:val="0"/>
        <w:pageBreakBefore w:val="0"/>
        <w:widowControl/>
        <w:suppressLineNumbers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val="0"/>
        <w:snapToGrid w:val="0"/>
        <w:spacing w:line="460" w:lineRule="exact"/>
        <w:ind w:firstLine="560" w:firstLineChars="200"/>
        <w:jc w:val="left"/>
        <w:textAlignment w:val="auto"/>
        <w:rPr>
          <w:rFonts w:hint="eastAsia" w:ascii="仿宋_GB2312" w:hAnsi="仿宋_GB2312" w:eastAsia="仿宋_GB2312" w:cs="仿宋_GB2312"/>
          <w:kern w:val="0"/>
          <w:sz w:val="28"/>
          <w:szCs w:val="28"/>
          <w:lang w:val="en-US" w:eastAsia="zh-CN" w:bidi="ar"/>
        </w:rPr>
      </w:pPr>
      <w:r>
        <w:rPr>
          <w:rFonts w:hint="eastAsia" w:ascii="仿宋_GB2312" w:hAnsi="仿宋_GB2312" w:eastAsia="仿宋_GB2312" w:cs="仿宋_GB2312"/>
          <w:kern w:val="2"/>
          <w:sz w:val="28"/>
          <w:szCs w:val="28"/>
          <w:lang w:val="en-US" w:eastAsia="zh-CN" w:bidi="ar-SA"/>
        </w:rPr>
        <w:t>本指南所列内容仅为课题研究领域和方向，供选题时参考。申报者可结合工作实际自主拟定研究题目与研究内容，提升研究的针对性与实效性。</w:t>
      </w:r>
    </w:p>
    <w:p w14:paraId="0EDD3351">
      <w:pPr>
        <w:keepNext w:val="0"/>
        <w:keepLines w:val="0"/>
        <w:pageBreakBefore w:val="0"/>
        <w:widowControl/>
        <w:suppressLineNumbers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val="0"/>
        <w:snapToGrid w:val="0"/>
        <w:spacing w:line="460" w:lineRule="exact"/>
        <w:jc w:val="left"/>
        <w:textAlignment w:val="auto"/>
        <w:rPr>
          <w:rFonts w:hint="eastAsia" w:ascii="仿宋_GB2312" w:hAnsi="仿宋_GB2312" w:eastAsia="仿宋_GB2312" w:cs="仿宋_GB2312"/>
          <w:kern w:val="0"/>
          <w:sz w:val="28"/>
          <w:szCs w:val="28"/>
          <w:lang w:val="en-US" w:eastAsia="zh-CN" w:bidi="ar"/>
        </w:rPr>
      </w:pPr>
    </w:p>
    <w:p w14:paraId="2CE61246">
      <w:pPr>
        <w:keepNext w:val="0"/>
        <w:keepLines w:val="0"/>
        <w:pageBreakBefore w:val="0"/>
        <w:widowControl/>
        <w:suppressLineNumbers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val="0"/>
        <w:snapToGrid w:val="0"/>
        <w:spacing w:line="460" w:lineRule="exact"/>
        <w:jc w:val="left"/>
        <w:textAlignment w:val="auto"/>
        <w:rPr>
          <w:rFonts w:hint="eastAsia" w:ascii="仿宋_GB2312" w:hAnsi="仿宋_GB2312" w:eastAsia="仿宋_GB2312" w:cs="仿宋_GB2312"/>
          <w:b/>
          <w:bCs/>
          <w:kern w:val="0"/>
          <w:sz w:val="28"/>
          <w:szCs w:val="28"/>
          <w:lang w:val="en-US" w:eastAsia="zh-CN" w:bidi="ar"/>
        </w:rPr>
      </w:pPr>
      <w:r>
        <w:rPr>
          <w:rFonts w:hint="eastAsia" w:ascii="仿宋_GB2312" w:hAnsi="仿宋_GB2312" w:eastAsia="仿宋_GB2312" w:cs="仿宋_GB2312"/>
          <w:b/>
          <w:bCs/>
          <w:kern w:val="2"/>
          <w:sz w:val="28"/>
          <w:szCs w:val="28"/>
          <w:lang w:val="en-US" w:eastAsia="zh-CN" w:bidi="ar-SA"/>
        </w:rPr>
        <w:t>方向一：高质量实施新时代立德树人工程</w:t>
      </w:r>
    </w:p>
    <w:p w14:paraId="2D431510">
      <w:pPr>
        <w:keepNext w:val="0"/>
        <w:keepLines w:val="0"/>
        <w:pageBreakBefore w:val="0"/>
        <w:widowControl/>
        <w:suppressLineNumbers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val="0"/>
        <w:snapToGrid w:val="0"/>
        <w:spacing w:line="460" w:lineRule="exact"/>
        <w:jc w:val="left"/>
        <w:textAlignment w:val="auto"/>
        <w:rPr>
          <w:rFonts w:hint="eastAsia" w:ascii="仿宋_GB2312" w:hAnsi="仿宋_GB2312" w:eastAsia="仿宋_GB2312" w:cs="仿宋_GB2312"/>
          <w:kern w:val="0"/>
          <w:sz w:val="28"/>
          <w:szCs w:val="28"/>
          <w:lang w:val="en-US" w:eastAsia="zh-CN" w:bidi="ar"/>
        </w:rPr>
      </w:pPr>
      <w:r>
        <w:rPr>
          <w:rFonts w:hint="eastAsia" w:ascii="仿宋_GB2312" w:hAnsi="仿宋_GB2312" w:eastAsia="仿宋_GB2312" w:cs="仿宋_GB2312"/>
          <w:kern w:val="2"/>
          <w:sz w:val="28"/>
          <w:szCs w:val="28"/>
          <w:lang w:val="en-US" w:eastAsia="zh-CN" w:bidi="ar-SA"/>
        </w:rPr>
        <w:t>1. 新时代职业教育立德树人育人体系高质量构建与落地路径研究</w:t>
      </w:r>
    </w:p>
    <w:p w14:paraId="66251416">
      <w:pPr>
        <w:keepNext w:val="0"/>
        <w:keepLines w:val="0"/>
        <w:pageBreakBefore w:val="0"/>
        <w:widowControl/>
        <w:suppressLineNumbers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val="0"/>
        <w:snapToGrid w:val="0"/>
        <w:spacing w:line="460" w:lineRule="exact"/>
        <w:ind w:firstLine="560" w:firstLineChars="200"/>
        <w:jc w:val="left"/>
        <w:textAlignment w:val="auto"/>
        <w:rPr>
          <w:rFonts w:hint="eastAsia" w:ascii="仿宋_GB2312" w:hAnsi="仿宋_GB2312" w:eastAsia="仿宋_GB2312" w:cs="仿宋_GB2312"/>
          <w:kern w:val="0"/>
          <w:sz w:val="28"/>
          <w:szCs w:val="28"/>
          <w:lang w:val="en-US" w:eastAsia="zh-CN" w:bidi="ar"/>
        </w:rPr>
      </w:pPr>
      <w:r>
        <w:rPr>
          <w:rFonts w:hint="eastAsia" w:ascii="仿宋_GB2312" w:hAnsi="仿宋_GB2312" w:eastAsia="仿宋_GB2312" w:cs="仿宋_GB2312"/>
          <w:kern w:val="2"/>
          <w:sz w:val="28"/>
          <w:szCs w:val="28"/>
          <w:lang w:val="en-US" w:eastAsia="zh-CN" w:bidi="ar-SA"/>
        </w:rPr>
        <w:t>研究职业院校立德树人体系顶层设计，构建适配职业教育人才培养的立德树人体系，建立健全立德树人落地运行机制。</w:t>
      </w:r>
    </w:p>
    <w:p w14:paraId="56AB4095">
      <w:pPr>
        <w:keepNext w:val="0"/>
        <w:keepLines w:val="0"/>
        <w:pageBreakBefore w:val="0"/>
        <w:widowControl/>
        <w:suppressLineNumbers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val="0"/>
        <w:snapToGrid w:val="0"/>
        <w:spacing w:line="460" w:lineRule="exact"/>
        <w:jc w:val="left"/>
        <w:textAlignment w:val="auto"/>
        <w:rPr>
          <w:rFonts w:hint="eastAsia" w:ascii="仿宋_GB2312" w:hAnsi="仿宋_GB2312" w:eastAsia="仿宋_GB2312" w:cs="仿宋_GB2312"/>
          <w:kern w:val="0"/>
          <w:sz w:val="28"/>
          <w:szCs w:val="28"/>
          <w:lang w:val="en-US" w:eastAsia="zh-CN" w:bidi="ar"/>
        </w:rPr>
      </w:pPr>
      <w:r>
        <w:rPr>
          <w:rFonts w:hint="eastAsia" w:ascii="仿宋_GB2312" w:hAnsi="仿宋_GB2312" w:eastAsia="仿宋_GB2312" w:cs="仿宋_GB2312"/>
          <w:kern w:val="2"/>
          <w:sz w:val="28"/>
          <w:szCs w:val="28"/>
          <w:lang w:val="en-US" w:eastAsia="zh-CN" w:bidi="ar-SA"/>
        </w:rPr>
        <w:t>2. 岗课赛证融合视域下职业教育立德树人沉浸式育人模式创新与实践研究</w:t>
      </w:r>
    </w:p>
    <w:p w14:paraId="5AB9FAAE">
      <w:pPr>
        <w:keepNext w:val="0"/>
        <w:keepLines w:val="0"/>
        <w:pageBreakBefore w:val="0"/>
        <w:widowControl/>
        <w:suppressLineNumbers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val="0"/>
        <w:snapToGrid w:val="0"/>
        <w:spacing w:line="460" w:lineRule="exact"/>
        <w:ind w:firstLine="560" w:firstLineChars="200"/>
        <w:jc w:val="left"/>
        <w:textAlignment w:val="auto"/>
        <w:rPr>
          <w:rFonts w:hint="eastAsia" w:ascii="仿宋_GB2312" w:hAnsi="仿宋_GB2312" w:eastAsia="仿宋_GB2312" w:cs="仿宋_GB2312"/>
          <w:kern w:val="0"/>
          <w:sz w:val="28"/>
          <w:szCs w:val="28"/>
          <w:lang w:val="en-US" w:eastAsia="zh-CN" w:bidi="ar"/>
        </w:rPr>
      </w:pPr>
      <w:r>
        <w:rPr>
          <w:rFonts w:hint="eastAsia" w:ascii="仿宋_GB2312" w:hAnsi="仿宋_GB2312" w:eastAsia="仿宋_GB2312" w:cs="仿宋_GB2312"/>
          <w:kern w:val="2"/>
          <w:sz w:val="28"/>
          <w:szCs w:val="28"/>
          <w:lang w:val="en-US" w:eastAsia="zh-CN" w:bidi="ar-SA"/>
        </w:rPr>
        <w:t>针对立德树人与专业教育“两张皮”现实问题，挖掘专业教育各环节育人功能，构建立德树人沉浸式育人场景。</w:t>
      </w:r>
    </w:p>
    <w:p w14:paraId="71DF76EF">
      <w:pPr>
        <w:keepNext w:val="0"/>
        <w:keepLines w:val="0"/>
        <w:pageBreakBefore w:val="0"/>
        <w:widowControl/>
        <w:suppressLineNumbers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val="0"/>
        <w:snapToGrid w:val="0"/>
        <w:spacing w:line="460" w:lineRule="exact"/>
        <w:jc w:val="left"/>
        <w:textAlignment w:val="auto"/>
        <w:rPr>
          <w:rFonts w:hint="eastAsia" w:ascii="仿宋_GB2312" w:hAnsi="仿宋_GB2312" w:eastAsia="仿宋_GB2312" w:cs="仿宋_GB2312"/>
          <w:kern w:val="0"/>
          <w:sz w:val="28"/>
          <w:szCs w:val="28"/>
          <w:lang w:val="en-US" w:eastAsia="zh-CN" w:bidi="ar"/>
        </w:rPr>
      </w:pPr>
      <w:r>
        <w:rPr>
          <w:rFonts w:hint="eastAsia" w:ascii="仿宋_GB2312" w:hAnsi="仿宋_GB2312" w:eastAsia="仿宋_GB2312" w:cs="仿宋_GB2312"/>
          <w:kern w:val="2"/>
          <w:sz w:val="28"/>
          <w:szCs w:val="28"/>
          <w:lang w:val="en-US" w:eastAsia="zh-CN" w:bidi="ar-SA"/>
        </w:rPr>
        <w:t>3. 终身学习视角下成人教育立德树人育人机制优化与实践研究</w:t>
      </w:r>
    </w:p>
    <w:p w14:paraId="362950E8">
      <w:pPr>
        <w:keepNext w:val="0"/>
        <w:keepLines w:val="0"/>
        <w:pageBreakBefore w:val="0"/>
        <w:widowControl/>
        <w:suppressLineNumbers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val="0"/>
        <w:snapToGrid w:val="0"/>
        <w:spacing w:line="460" w:lineRule="exact"/>
        <w:ind w:firstLine="560" w:firstLineChars="200"/>
        <w:jc w:val="left"/>
        <w:textAlignment w:val="auto"/>
        <w:rPr>
          <w:rFonts w:hint="eastAsia" w:ascii="仿宋_GB2312" w:hAnsi="仿宋_GB2312" w:eastAsia="仿宋_GB2312" w:cs="仿宋_GB2312"/>
          <w:kern w:val="0"/>
          <w:sz w:val="28"/>
          <w:szCs w:val="28"/>
          <w:lang w:val="en-US" w:eastAsia="zh-CN" w:bidi="ar"/>
        </w:rPr>
      </w:pPr>
      <w:r>
        <w:rPr>
          <w:rFonts w:hint="eastAsia" w:ascii="仿宋_GB2312" w:hAnsi="仿宋_GB2312" w:eastAsia="仿宋_GB2312" w:cs="仿宋_GB2312"/>
          <w:kern w:val="2"/>
          <w:sz w:val="28"/>
          <w:szCs w:val="28"/>
          <w:lang w:val="en-US" w:eastAsia="zh-CN" w:bidi="ar-SA"/>
        </w:rPr>
        <w:t>针对成人教育立德树人工作容易被忽视的问题，探索适配成人学习者的德育实施方案，完善成人教育德育工作机制。</w:t>
      </w:r>
    </w:p>
    <w:p w14:paraId="5354F477">
      <w:pPr>
        <w:keepNext w:val="0"/>
        <w:keepLines w:val="0"/>
        <w:pageBreakBefore w:val="0"/>
        <w:widowControl/>
        <w:suppressLineNumbers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val="0"/>
        <w:snapToGrid w:val="0"/>
        <w:spacing w:line="460" w:lineRule="exact"/>
        <w:jc w:val="left"/>
        <w:textAlignment w:val="auto"/>
        <w:rPr>
          <w:rFonts w:hint="eastAsia" w:ascii="仿宋_GB2312" w:hAnsi="仿宋_GB2312" w:eastAsia="仿宋_GB2312" w:cs="仿宋_GB2312"/>
          <w:kern w:val="0"/>
          <w:sz w:val="28"/>
          <w:szCs w:val="28"/>
          <w:lang w:val="en-US" w:eastAsia="zh-CN" w:bidi="ar"/>
        </w:rPr>
      </w:pPr>
      <w:r>
        <w:rPr>
          <w:rFonts w:hint="eastAsia" w:ascii="仿宋_GB2312" w:hAnsi="仿宋_GB2312" w:eastAsia="仿宋_GB2312" w:cs="仿宋_GB2312"/>
          <w:kern w:val="2"/>
          <w:sz w:val="28"/>
          <w:szCs w:val="28"/>
          <w:lang w:val="en-US" w:eastAsia="zh-CN" w:bidi="ar-SA"/>
        </w:rPr>
        <w:t>4. 职业教育立德树人高质量发展多元评价体系构建研究</w:t>
      </w:r>
    </w:p>
    <w:p w14:paraId="2C8FBE99">
      <w:pPr>
        <w:keepNext w:val="0"/>
        <w:keepLines w:val="0"/>
        <w:pageBreakBefore w:val="0"/>
        <w:widowControl/>
        <w:suppressLineNumbers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val="0"/>
        <w:snapToGrid w:val="0"/>
        <w:spacing w:line="460" w:lineRule="exact"/>
        <w:ind w:firstLine="560" w:firstLineChars="200"/>
        <w:jc w:val="left"/>
        <w:textAlignment w:val="auto"/>
        <w:rPr>
          <w:rFonts w:hint="eastAsia" w:ascii="仿宋_GB2312" w:hAnsi="仿宋_GB2312" w:eastAsia="仿宋_GB2312" w:cs="仿宋_GB2312"/>
          <w:kern w:val="0"/>
          <w:sz w:val="28"/>
          <w:szCs w:val="28"/>
          <w:lang w:val="en-US" w:eastAsia="zh-CN" w:bidi="ar"/>
        </w:rPr>
      </w:pPr>
      <w:r>
        <w:rPr>
          <w:rFonts w:hint="eastAsia" w:ascii="仿宋_GB2312" w:hAnsi="仿宋_GB2312" w:eastAsia="仿宋_GB2312" w:cs="仿宋_GB2312"/>
          <w:kern w:val="2"/>
          <w:sz w:val="28"/>
          <w:szCs w:val="28"/>
          <w:lang w:val="en-US" w:eastAsia="zh-CN" w:bidi="ar-SA"/>
        </w:rPr>
        <w:t>针对立德树人评价标准模糊、评价方式单一等问题，探索立德树人成效评价机制与评价标准，强化立德树人评价结果的实践应用。</w:t>
      </w:r>
    </w:p>
    <w:p w14:paraId="626E13F7">
      <w:pPr>
        <w:keepNext w:val="0"/>
        <w:keepLines w:val="0"/>
        <w:pageBreakBefore w:val="0"/>
        <w:widowControl/>
        <w:suppressLineNumbers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val="0"/>
        <w:snapToGrid w:val="0"/>
        <w:spacing w:line="460" w:lineRule="exact"/>
        <w:jc w:val="left"/>
        <w:textAlignment w:val="auto"/>
        <w:rPr>
          <w:rFonts w:hint="eastAsia" w:ascii="仿宋_GB2312" w:hAnsi="仿宋_GB2312" w:eastAsia="仿宋_GB2312" w:cs="仿宋_GB2312"/>
          <w:kern w:val="0"/>
          <w:sz w:val="28"/>
          <w:szCs w:val="28"/>
          <w:lang w:val="en-US" w:eastAsia="zh-CN" w:bidi="ar"/>
        </w:rPr>
      </w:pPr>
    </w:p>
    <w:p w14:paraId="65EC1653">
      <w:pPr>
        <w:keepNext w:val="0"/>
        <w:keepLines w:val="0"/>
        <w:pageBreakBefore w:val="0"/>
        <w:widowControl/>
        <w:suppressLineNumbers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val="0"/>
        <w:snapToGrid w:val="0"/>
        <w:spacing w:line="460" w:lineRule="exact"/>
        <w:jc w:val="left"/>
        <w:textAlignment w:val="auto"/>
        <w:rPr>
          <w:rFonts w:hint="eastAsia" w:ascii="仿宋_GB2312" w:hAnsi="仿宋_GB2312" w:eastAsia="仿宋_GB2312" w:cs="仿宋_GB2312"/>
          <w:kern w:val="0"/>
          <w:sz w:val="28"/>
          <w:szCs w:val="28"/>
          <w:lang w:val="en-US" w:eastAsia="zh-CN" w:bidi="ar"/>
        </w:rPr>
      </w:pPr>
      <w:r>
        <w:rPr>
          <w:rFonts w:hint="eastAsia" w:ascii="仿宋_GB2312" w:hAnsi="仿宋_GB2312" w:eastAsia="仿宋_GB2312" w:cs="仿宋_GB2312"/>
          <w:kern w:val="2"/>
          <w:sz w:val="28"/>
          <w:szCs w:val="28"/>
          <w:lang w:val="en-US" w:eastAsia="zh-CN" w:bidi="ar-SA"/>
        </w:rPr>
        <w:t>5. 新时代职教“大思政”格局下师生双向立德育人创新实践研究</w:t>
      </w:r>
    </w:p>
    <w:p w14:paraId="2C5226B6">
      <w:pPr>
        <w:keepNext w:val="0"/>
        <w:keepLines w:val="0"/>
        <w:pageBreakBefore w:val="0"/>
        <w:widowControl/>
        <w:suppressLineNumbers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val="0"/>
        <w:snapToGrid w:val="0"/>
        <w:spacing w:line="460" w:lineRule="exact"/>
        <w:ind w:firstLine="560" w:firstLineChars="200"/>
        <w:jc w:val="left"/>
        <w:textAlignment w:val="auto"/>
        <w:rPr>
          <w:rFonts w:hint="eastAsia" w:ascii="仿宋_GB2312" w:hAnsi="仿宋_GB2312" w:eastAsia="仿宋_GB2312" w:cs="仿宋_GB2312"/>
          <w:kern w:val="0"/>
          <w:sz w:val="28"/>
          <w:szCs w:val="28"/>
          <w:lang w:val="en-US" w:eastAsia="zh-CN" w:bidi="ar"/>
        </w:rPr>
      </w:pPr>
      <w:r>
        <w:rPr>
          <w:rFonts w:hint="eastAsia" w:ascii="仿宋_GB2312" w:hAnsi="仿宋_GB2312" w:eastAsia="仿宋_GB2312" w:cs="仿宋_GB2312"/>
          <w:kern w:val="2"/>
          <w:sz w:val="28"/>
          <w:szCs w:val="28"/>
          <w:lang w:val="en-US" w:eastAsia="zh-CN" w:bidi="ar-SA"/>
        </w:rPr>
        <w:t>立足大思政协同育人格局，探索立德树人过程中师生双向互动、共生成长的实施载体，构建思政课程与课程思政协同、专任教师与管理教师育人协同、校内育人与校外企业育人协同，实现师生双向立德、全域育人的良好教育生态。</w:t>
      </w:r>
    </w:p>
    <w:p w14:paraId="10A55AC4">
      <w:pPr>
        <w:keepNext w:val="0"/>
        <w:keepLines w:val="0"/>
        <w:pageBreakBefore w:val="0"/>
        <w:widowControl/>
        <w:suppressLineNumbers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val="0"/>
        <w:snapToGrid w:val="0"/>
        <w:spacing w:line="460" w:lineRule="exact"/>
        <w:jc w:val="left"/>
        <w:textAlignment w:val="auto"/>
        <w:rPr>
          <w:rFonts w:hint="eastAsia" w:ascii="仿宋_GB2312" w:hAnsi="仿宋_GB2312" w:eastAsia="仿宋_GB2312" w:cs="仿宋_GB2312"/>
          <w:kern w:val="0"/>
          <w:sz w:val="28"/>
          <w:szCs w:val="28"/>
          <w:lang w:val="en-US" w:eastAsia="zh-CN" w:bidi="ar"/>
        </w:rPr>
      </w:pPr>
    </w:p>
    <w:p w14:paraId="4A0730A7">
      <w:pPr>
        <w:keepNext w:val="0"/>
        <w:keepLines w:val="0"/>
        <w:pageBreakBefore w:val="0"/>
        <w:widowControl/>
        <w:suppressLineNumbers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val="0"/>
        <w:snapToGrid w:val="0"/>
        <w:spacing w:line="460" w:lineRule="exact"/>
        <w:jc w:val="left"/>
        <w:textAlignment w:val="auto"/>
        <w:rPr>
          <w:rFonts w:hint="eastAsia" w:ascii="仿宋_GB2312" w:hAnsi="仿宋_GB2312" w:eastAsia="仿宋_GB2312" w:cs="仿宋_GB2312"/>
          <w:b/>
          <w:bCs/>
          <w:kern w:val="0"/>
          <w:sz w:val="28"/>
          <w:szCs w:val="28"/>
          <w:lang w:val="en-US" w:eastAsia="zh-CN" w:bidi="ar"/>
        </w:rPr>
      </w:pPr>
      <w:r>
        <w:rPr>
          <w:rFonts w:hint="eastAsia" w:ascii="仿宋_GB2312" w:hAnsi="仿宋_GB2312" w:eastAsia="仿宋_GB2312" w:cs="仿宋_GB2312"/>
          <w:b/>
          <w:bCs/>
          <w:kern w:val="2"/>
          <w:sz w:val="28"/>
          <w:szCs w:val="28"/>
          <w:lang w:val="en-US" w:eastAsia="zh-CN" w:bidi="ar-SA"/>
        </w:rPr>
        <w:t>方向二：职业教育赋能产业发展与人才培养供需适配</w:t>
      </w:r>
    </w:p>
    <w:p w14:paraId="78188964">
      <w:pPr>
        <w:keepNext w:val="0"/>
        <w:keepLines w:val="0"/>
        <w:pageBreakBefore w:val="0"/>
        <w:widowControl/>
        <w:suppressLineNumbers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val="0"/>
        <w:snapToGrid w:val="0"/>
        <w:spacing w:line="460" w:lineRule="exact"/>
        <w:jc w:val="left"/>
        <w:textAlignment w:val="auto"/>
        <w:rPr>
          <w:rFonts w:hint="eastAsia" w:ascii="仿宋_GB2312" w:hAnsi="仿宋_GB2312" w:eastAsia="仿宋_GB2312" w:cs="仿宋_GB2312"/>
          <w:kern w:val="0"/>
          <w:sz w:val="28"/>
          <w:szCs w:val="28"/>
          <w:lang w:val="en-US" w:eastAsia="zh-CN" w:bidi="ar"/>
        </w:rPr>
      </w:pPr>
      <w:r>
        <w:rPr>
          <w:rFonts w:hint="eastAsia" w:ascii="仿宋_GB2312" w:hAnsi="仿宋_GB2312" w:eastAsia="仿宋_GB2312" w:cs="仿宋_GB2312"/>
          <w:kern w:val="2"/>
          <w:sz w:val="28"/>
          <w:szCs w:val="28"/>
          <w:lang w:val="en-US" w:eastAsia="zh-CN" w:bidi="ar-SA"/>
        </w:rPr>
        <w:t>6. 职业教育赋能湖南先进制造业高地建设的贡献度与作用机制研究</w:t>
      </w:r>
    </w:p>
    <w:p w14:paraId="665583C5">
      <w:pPr>
        <w:keepNext w:val="0"/>
        <w:keepLines w:val="0"/>
        <w:pageBreakBefore w:val="0"/>
        <w:widowControl/>
        <w:suppressLineNumbers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val="0"/>
        <w:snapToGrid w:val="0"/>
        <w:spacing w:line="460" w:lineRule="exact"/>
        <w:ind w:firstLine="560" w:firstLineChars="200"/>
        <w:jc w:val="left"/>
        <w:textAlignment w:val="auto"/>
        <w:rPr>
          <w:rFonts w:hint="eastAsia" w:ascii="仿宋_GB2312" w:hAnsi="仿宋_GB2312" w:eastAsia="仿宋_GB2312" w:cs="仿宋_GB2312"/>
          <w:kern w:val="0"/>
          <w:sz w:val="28"/>
          <w:szCs w:val="28"/>
          <w:lang w:val="en-US" w:eastAsia="zh-CN" w:bidi="ar"/>
        </w:rPr>
      </w:pPr>
      <w:r>
        <w:rPr>
          <w:rFonts w:hint="eastAsia" w:ascii="仿宋_GB2312" w:hAnsi="仿宋_GB2312" w:eastAsia="仿宋_GB2312" w:cs="仿宋_GB2312"/>
          <w:kern w:val="2"/>
          <w:sz w:val="28"/>
          <w:szCs w:val="28"/>
          <w:lang w:val="en-US" w:eastAsia="zh-CN" w:bidi="ar-SA"/>
        </w:rPr>
        <w:t>以工程机械、轨道交通、新能源汽车等湖南优势产业为切入点，实证分析职业教育对区域产业竞争力的贡献度，研究职业教育赋能产业发展的实现路径。</w:t>
      </w:r>
    </w:p>
    <w:p w14:paraId="68A94DC7">
      <w:pPr>
        <w:keepNext w:val="0"/>
        <w:keepLines w:val="0"/>
        <w:pageBreakBefore w:val="0"/>
        <w:widowControl/>
        <w:suppressLineNumbers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val="0"/>
        <w:snapToGrid w:val="0"/>
        <w:spacing w:line="460" w:lineRule="exact"/>
        <w:jc w:val="left"/>
        <w:textAlignment w:val="auto"/>
        <w:rPr>
          <w:rFonts w:hint="eastAsia" w:ascii="仿宋_GB2312" w:hAnsi="仿宋_GB2312" w:eastAsia="仿宋_GB2312" w:cs="仿宋_GB2312"/>
          <w:kern w:val="0"/>
          <w:sz w:val="28"/>
          <w:szCs w:val="28"/>
          <w:lang w:val="en-US" w:eastAsia="zh-CN" w:bidi="ar"/>
        </w:rPr>
      </w:pPr>
      <w:r>
        <w:rPr>
          <w:rFonts w:hint="eastAsia" w:ascii="仿宋_GB2312" w:hAnsi="仿宋_GB2312" w:eastAsia="仿宋_GB2312" w:cs="仿宋_GB2312"/>
          <w:kern w:val="2"/>
          <w:sz w:val="28"/>
          <w:szCs w:val="28"/>
          <w:lang w:val="en-US" w:eastAsia="zh-CN" w:bidi="ar-SA"/>
        </w:rPr>
        <w:t>7. 职业教育专业设置与区域产业需求的动态适配机制研究——基于湖南省专业预警与调整实践</w:t>
      </w:r>
    </w:p>
    <w:p w14:paraId="424C97B0">
      <w:pPr>
        <w:keepNext w:val="0"/>
        <w:keepLines w:val="0"/>
        <w:pageBreakBefore w:val="0"/>
        <w:widowControl/>
        <w:suppressLineNumbers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val="0"/>
        <w:snapToGrid w:val="0"/>
        <w:spacing w:line="460" w:lineRule="exact"/>
        <w:ind w:firstLine="560" w:firstLineChars="200"/>
        <w:jc w:val="left"/>
        <w:textAlignment w:val="auto"/>
        <w:rPr>
          <w:rFonts w:hint="eastAsia" w:ascii="仿宋_GB2312" w:hAnsi="仿宋_GB2312" w:eastAsia="仿宋_GB2312" w:cs="仿宋_GB2312"/>
          <w:kern w:val="0"/>
          <w:sz w:val="28"/>
          <w:szCs w:val="28"/>
          <w:lang w:val="en-US" w:eastAsia="zh-CN" w:bidi="ar"/>
        </w:rPr>
      </w:pPr>
      <w:r>
        <w:rPr>
          <w:rFonts w:hint="eastAsia" w:ascii="仿宋_GB2312" w:hAnsi="仿宋_GB2312" w:eastAsia="仿宋_GB2312" w:cs="仿宋_GB2312"/>
          <w:kern w:val="2"/>
          <w:sz w:val="28"/>
          <w:szCs w:val="28"/>
          <w:lang w:val="en-US" w:eastAsia="zh-CN" w:bidi="ar-SA"/>
        </w:rPr>
        <w:t>研究湖南省专业预警与动态调整机制运行成效，探索依托产业大数据开展人才需求预测、优化专业布局的实现方法。</w:t>
      </w:r>
    </w:p>
    <w:p w14:paraId="557E0F9E">
      <w:pPr>
        <w:keepNext w:val="0"/>
        <w:keepLines w:val="0"/>
        <w:pageBreakBefore w:val="0"/>
        <w:widowControl/>
        <w:suppressLineNumbers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val="0"/>
        <w:snapToGrid w:val="0"/>
        <w:spacing w:line="460" w:lineRule="exact"/>
        <w:jc w:val="left"/>
        <w:textAlignment w:val="auto"/>
        <w:rPr>
          <w:rFonts w:hint="eastAsia" w:ascii="仿宋_GB2312" w:hAnsi="仿宋_GB2312" w:eastAsia="仿宋_GB2312" w:cs="仿宋_GB2312"/>
          <w:kern w:val="0"/>
          <w:sz w:val="28"/>
          <w:szCs w:val="28"/>
          <w:lang w:val="en-US" w:eastAsia="zh-CN" w:bidi="ar"/>
        </w:rPr>
      </w:pPr>
      <w:r>
        <w:rPr>
          <w:rFonts w:hint="eastAsia" w:ascii="仿宋_GB2312" w:hAnsi="仿宋_GB2312" w:eastAsia="仿宋_GB2312" w:cs="仿宋_GB2312"/>
          <w:kern w:val="2"/>
          <w:sz w:val="28"/>
          <w:szCs w:val="28"/>
          <w:lang w:val="en-US" w:eastAsia="zh-CN" w:bidi="ar-SA"/>
        </w:rPr>
        <w:t>8. 高技能人才集群培养服务湖南新兴产业集群发展的路径研究</w:t>
      </w:r>
    </w:p>
    <w:p w14:paraId="61479BF3">
      <w:pPr>
        <w:keepNext w:val="0"/>
        <w:keepLines w:val="0"/>
        <w:pageBreakBefore w:val="0"/>
        <w:widowControl/>
        <w:suppressLineNumbers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val="0"/>
        <w:snapToGrid w:val="0"/>
        <w:spacing w:line="460" w:lineRule="exact"/>
        <w:ind w:firstLine="560" w:firstLineChars="200"/>
        <w:jc w:val="left"/>
        <w:textAlignment w:val="auto"/>
        <w:rPr>
          <w:rFonts w:hint="eastAsia" w:ascii="仿宋_GB2312" w:hAnsi="仿宋_GB2312" w:eastAsia="仿宋_GB2312" w:cs="仿宋_GB2312"/>
          <w:kern w:val="0"/>
          <w:sz w:val="28"/>
          <w:szCs w:val="28"/>
          <w:lang w:val="en-US" w:eastAsia="zh-CN" w:bidi="ar"/>
        </w:rPr>
      </w:pPr>
      <w:r>
        <w:rPr>
          <w:rFonts w:hint="eastAsia" w:ascii="仿宋_GB2312" w:hAnsi="仿宋_GB2312" w:eastAsia="仿宋_GB2312" w:cs="仿宋_GB2312"/>
          <w:kern w:val="2"/>
          <w:sz w:val="28"/>
          <w:szCs w:val="28"/>
          <w:lang w:val="en-US" w:eastAsia="zh-CN" w:bidi="ar-SA"/>
        </w:rPr>
        <w:t>面向湖南“4×4”现代化产业体系中的新兴产业，研究职业教育通过集群化人才培养模式，快速填补新兴产业技能人才缺口的实施路径。</w:t>
      </w:r>
    </w:p>
    <w:p w14:paraId="188AF4ED">
      <w:pPr>
        <w:keepNext w:val="0"/>
        <w:keepLines w:val="0"/>
        <w:pageBreakBefore w:val="0"/>
        <w:widowControl/>
        <w:suppressLineNumbers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val="0"/>
        <w:snapToGrid w:val="0"/>
        <w:spacing w:line="460" w:lineRule="exact"/>
        <w:jc w:val="left"/>
        <w:textAlignment w:val="auto"/>
        <w:rPr>
          <w:rFonts w:hint="eastAsia" w:ascii="仿宋_GB2312" w:hAnsi="仿宋_GB2312" w:eastAsia="仿宋_GB2312" w:cs="仿宋_GB2312"/>
          <w:kern w:val="0"/>
          <w:sz w:val="28"/>
          <w:szCs w:val="28"/>
          <w:lang w:val="en-US" w:eastAsia="zh-CN" w:bidi="ar"/>
        </w:rPr>
      </w:pPr>
      <w:r>
        <w:rPr>
          <w:rFonts w:hint="eastAsia" w:ascii="仿宋_GB2312" w:hAnsi="仿宋_GB2312" w:eastAsia="仿宋_GB2312" w:cs="仿宋_GB2312"/>
          <w:kern w:val="2"/>
          <w:sz w:val="28"/>
          <w:szCs w:val="28"/>
          <w:lang w:val="en-US" w:eastAsia="zh-CN" w:bidi="ar-SA"/>
        </w:rPr>
        <w:t>9. 低空经济、人工智能、高端装备等2026年新增专业在湘落地适配性研究</w:t>
      </w:r>
    </w:p>
    <w:p w14:paraId="44F12C84">
      <w:pPr>
        <w:keepNext w:val="0"/>
        <w:keepLines w:val="0"/>
        <w:pageBreakBefore w:val="0"/>
        <w:widowControl/>
        <w:suppressLineNumbers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val="0"/>
        <w:snapToGrid w:val="0"/>
        <w:spacing w:line="460" w:lineRule="exact"/>
        <w:ind w:firstLine="560" w:firstLineChars="200"/>
        <w:jc w:val="left"/>
        <w:textAlignment w:val="auto"/>
        <w:rPr>
          <w:rFonts w:hint="eastAsia" w:ascii="仿宋_GB2312" w:hAnsi="仿宋_GB2312" w:eastAsia="仿宋_GB2312" w:cs="仿宋_GB2312"/>
          <w:kern w:val="0"/>
          <w:sz w:val="28"/>
          <w:szCs w:val="28"/>
          <w:lang w:val="en-US" w:eastAsia="zh-CN" w:bidi="ar"/>
        </w:rPr>
      </w:pPr>
      <w:r>
        <w:rPr>
          <w:rFonts w:hint="eastAsia" w:ascii="仿宋_GB2312" w:hAnsi="仿宋_GB2312" w:eastAsia="仿宋_GB2312" w:cs="仿宋_GB2312"/>
          <w:kern w:val="2"/>
          <w:sz w:val="28"/>
          <w:szCs w:val="28"/>
          <w:lang w:val="en-US" w:eastAsia="zh-CN" w:bidi="ar-SA"/>
        </w:rPr>
        <w:t>聚焦2026年新增专业，立足湖南产业发展实际，研判新增专业在湖南省落地的现实基础，梳理供需匹配矛盾与产教融合堵点，分析专业布局、人才培养与省内产业链岗位需求的适配水平，研究专业建设优化路径与保障对策，为湖南省高校新兴专业设置调整、服务新质生产力发展提供决策参考。</w:t>
      </w:r>
    </w:p>
    <w:p w14:paraId="20CCD67E">
      <w:pPr>
        <w:keepNext w:val="0"/>
        <w:keepLines w:val="0"/>
        <w:pageBreakBefore w:val="0"/>
        <w:widowControl/>
        <w:suppressLineNumbers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val="0"/>
        <w:snapToGrid w:val="0"/>
        <w:spacing w:line="460" w:lineRule="exact"/>
        <w:jc w:val="left"/>
        <w:textAlignment w:val="auto"/>
        <w:rPr>
          <w:rFonts w:hint="eastAsia" w:ascii="仿宋_GB2312" w:hAnsi="仿宋_GB2312" w:eastAsia="仿宋_GB2312" w:cs="仿宋_GB2312"/>
          <w:kern w:val="0"/>
          <w:sz w:val="28"/>
          <w:szCs w:val="28"/>
          <w:lang w:val="en-US" w:eastAsia="zh-CN" w:bidi="ar"/>
        </w:rPr>
      </w:pPr>
      <w:r>
        <w:rPr>
          <w:rFonts w:hint="eastAsia" w:ascii="仿宋_GB2312" w:hAnsi="仿宋_GB2312" w:eastAsia="仿宋_GB2312" w:cs="仿宋_GB2312"/>
          <w:kern w:val="2"/>
          <w:sz w:val="28"/>
          <w:szCs w:val="28"/>
          <w:lang w:val="en-US" w:eastAsia="zh-CN" w:bidi="ar-SA"/>
        </w:rPr>
        <w:t>10. 绿色低碳技能人才培养与湖南产业绿色化转型适配研究</w:t>
      </w:r>
    </w:p>
    <w:p w14:paraId="10CCDAB0">
      <w:pPr>
        <w:keepNext w:val="0"/>
        <w:keepLines w:val="0"/>
        <w:pageBreakBefore w:val="0"/>
        <w:widowControl/>
        <w:suppressLineNumbers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val="0"/>
        <w:snapToGrid w:val="0"/>
        <w:spacing w:line="460" w:lineRule="exact"/>
        <w:ind w:firstLine="560" w:firstLineChars="200"/>
        <w:jc w:val="left"/>
        <w:textAlignment w:val="auto"/>
        <w:rPr>
          <w:rFonts w:hint="eastAsia" w:ascii="仿宋_GB2312" w:hAnsi="仿宋_GB2312" w:eastAsia="仿宋_GB2312" w:cs="仿宋_GB2312"/>
          <w:kern w:val="0"/>
          <w:sz w:val="28"/>
          <w:szCs w:val="28"/>
          <w:lang w:val="en-US" w:eastAsia="zh-CN" w:bidi="ar"/>
        </w:rPr>
      </w:pPr>
      <w:r>
        <w:rPr>
          <w:rFonts w:hint="eastAsia" w:ascii="仿宋_GB2312" w:hAnsi="仿宋_GB2312" w:eastAsia="仿宋_GB2312" w:cs="仿宋_GB2312"/>
          <w:kern w:val="2"/>
          <w:sz w:val="28"/>
          <w:szCs w:val="28"/>
          <w:lang w:val="en-US" w:eastAsia="zh-CN" w:bidi="ar-SA"/>
        </w:rPr>
        <w:t>紧扣“十五五”全面绿色转型、《碳达峰碳中和综合评价考核办法》等政策落地要求。当前全国“双碳”领域人才缺口近百万，湖南作为制造业大省，对先进制造与绿色低碳复合型技能人才存在刚性需求，围绕该背景开展人才培养适配相关研究。</w:t>
      </w:r>
    </w:p>
    <w:p w14:paraId="7CF3AAB2">
      <w:pPr>
        <w:keepNext w:val="0"/>
        <w:keepLines w:val="0"/>
        <w:pageBreakBefore w:val="0"/>
        <w:widowControl/>
        <w:suppressLineNumbers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val="0"/>
        <w:snapToGrid w:val="0"/>
        <w:spacing w:line="460" w:lineRule="exact"/>
        <w:jc w:val="left"/>
        <w:textAlignment w:val="auto"/>
        <w:rPr>
          <w:rFonts w:hint="eastAsia" w:ascii="仿宋_GB2312" w:hAnsi="仿宋_GB2312" w:eastAsia="仿宋_GB2312" w:cs="仿宋_GB2312"/>
          <w:kern w:val="0"/>
          <w:sz w:val="28"/>
          <w:szCs w:val="28"/>
          <w:lang w:val="en-US" w:eastAsia="zh-CN" w:bidi="ar"/>
        </w:rPr>
      </w:pPr>
    </w:p>
    <w:p w14:paraId="299B7D10">
      <w:pPr>
        <w:keepNext w:val="0"/>
        <w:keepLines w:val="0"/>
        <w:pageBreakBefore w:val="0"/>
        <w:widowControl/>
        <w:suppressLineNumbers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val="0"/>
        <w:snapToGrid w:val="0"/>
        <w:spacing w:line="460" w:lineRule="exact"/>
        <w:jc w:val="left"/>
        <w:textAlignment w:val="auto"/>
        <w:rPr>
          <w:rFonts w:hint="eastAsia" w:ascii="仿宋_GB2312" w:hAnsi="仿宋_GB2312" w:eastAsia="仿宋_GB2312" w:cs="仿宋_GB2312"/>
          <w:b/>
          <w:bCs/>
          <w:kern w:val="0"/>
          <w:sz w:val="28"/>
          <w:szCs w:val="28"/>
          <w:lang w:val="en-US" w:eastAsia="zh-CN" w:bidi="ar"/>
        </w:rPr>
      </w:pPr>
      <w:r>
        <w:rPr>
          <w:rFonts w:hint="eastAsia" w:ascii="仿宋_GB2312" w:hAnsi="仿宋_GB2312" w:eastAsia="仿宋_GB2312" w:cs="仿宋_GB2312"/>
          <w:b/>
          <w:bCs/>
          <w:kern w:val="2"/>
          <w:sz w:val="28"/>
          <w:szCs w:val="28"/>
          <w:lang w:val="en-US" w:eastAsia="zh-CN" w:bidi="ar-SA"/>
        </w:rPr>
        <w:t>方向三：职业教育自主知识体系与类型定位</w:t>
      </w:r>
    </w:p>
    <w:p w14:paraId="20DFA3AB">
      <w:pPr>
        <w:keepNext w:val="0"/>
        <w:keepLines w:val="0"/>
        <w:pageBreakBefore w:val="0"/>
        <w:widowControl/>
        <w:suppressLineNumbers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val="0"/>
        <w:snapToGrid w:val="0"/>
        <w:spacing w:line="460" w:lineRule="exact"/>
        <w:jc w:val="left"/>
        <w:textAlignment w:val="auto"/>
        <w:rPr>
          <w:rFonts w:hint="eastAsia" w:ascii="仿宋_GB2312" w:hAnsi="仿宋_GB2312" w:eastAsia="仿宋_GB2312" w:cs="仿宋_GB2312"/>
          <w:kern w:val="0"/>
          <w:sz w:val="28"/>
          <w:szCs w:val="28"/>
          <w:lang w:val="en-US" w:eastAsia="zh-CN" w:bidi="ar"/>
        </w:rPr>
      </w:pPr>
      <w:r>
        <w:rPr>
          <w:rFonts w:hint="eastAsia" w:ascii="仿宋_GB2312" w:hAnsi="仿宋_GB2312" w:eastAsia="仿宋_GB2312" w:cs="仿宋_GB2312"/>
          <w:kern w:val="2"/>
          <w:sz w:val="28"/>
          <w:szCs w:val="28"/>
          <w:lang w:val="en-US" w:eastAsia="zh-CN" w:bidi="ar-SA"/>
        </w:rPr>
        <w:t>11. 中国特色职业教育自主知识体系的湖湘实践与理论贡献研究</w:t>
      </w:r>
    </w:p>
    <w:p w14:paraId="77FE2698">
      <w:pPr>
        <w:keepNext w:val="0"/>
        <w:keepLines w:val="0"/>
        <w:pageBreakBefore w:val="0"/>
        <w:widowControl/>
        <w:suppressLineNumbers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val="0"/>
        <w:snapToGrid w:val="0"/>
        <w:spacing w:line="460" w:lineRule="exact"/>
        <w:ind w:firstLine="560" w:firstLineChars="200"/>
        <w:jc w:val="left"/>
        <w:textAlignment w:val="auto"/>
        <w:rPr>
          <w:rFonts w:hint="eastAsia" w:ascii="仿宋_GB2312" w:hAnsi="仿宋_GB2312" w:eastAsia="仿宋_GB2312" w:cs="仿宋_GB2312"/>
          <w:kern w:val="0"/>
          <w:sz w:val="28"/>
          <w:szCs w:val="28"/>
          <w:lang w:val="en-US" w:eastAsia="zh-CN" w:bidi="ar"/>
        </w:rPr>
      </w:pPr>
      <w:r>
        <w:rPr>
          <w:rFonts w:hint="eastAsia" w:ascii="仿宋_GB2312" w:hAnsi="仿宋_GB2312" w:eastAsia="仿宋_GB2312" w:cs="仿宋_GB2312"/>
          <w:kern w:val="2"/>
          <w:sz w:val="28"/>
          <w:szCs w:val="28"/>
          <w:lang w:val="en-US" w:eastAsia="zh-CN" w:bidi="ar-SA"/>
        </w:rPr>
        <w:t>以湖南省职业教育百年发展历程（含“楚怡”职教传统）为研究样本，探究地方职教实践参与国家职业教育自主知识体系构建的路径，提炼具备湖湘特色的职业教育话语成果与理论贡献。</w:t>
      </w:r>
    </w:p>
    <w:p w14:paraId="29572858">
      <w:pPr>
        <w:keepNext w:val="0"/>
        <w:keepLines w:val="0"/>
        <w:pageBreakBefore w:val="0"/>
        <w:widowControl/>
        <w:suppressLineNumbers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val="0"/>
        <w:snapToGrid w:val="0"/>
        <w:spacing w:line="460" w:lineRule="exact"/>
        <w:jc w:val="left"/>
        <w:textAlignment w:val="auto"/>
        <w:rPr>
          <w:rFonts w:hint="eastAsia" w:ascii="仿宋_GB2312" w:hAnsi="仿宋_GB2312" w:eastAsia="仿宋_GB2312" w:cs="仿宋_GB2312"/>
          <w:kern w:val="0"/>
          <w:sz w:val="28"/>
          <w:szCs w:val="28"/>
          <w:lang w:val="en-US" w:eastAsia="zh-CN" w:bidi="ar"/>
        </w:rPr>
      </w:pPr>
      <w:r>
        <w:rPr>
          <w:rFonts w:hint="eastAsia" w:ascii="仿宋_GB2312" w:hAnsi="仿宋_GB2312" w:eastAsia="仿宋_GB2312" w:cs="仿宋_GB2312"/>
          <w:kern w:val="2"/>
          <w:sz w:val="28"/>
          <w:szCs w:val="28"/>
          <w:lang w:val="en-US" w:eastAsia="zh-CN" w:bidi="ar-SA"/>
        </w:rPr>
        <w:t>12. 职业教育类型定位巩固背景下中职学校“少而精”特色发展的湖南路径研究</w:t>
      </w:r>
    </w:p>
    <w:p w14:paraId="710E4985">
      <w:pPr>
        <w:keepNext w:val="0"/>
        <w:keepLines w:val="0"/>
        <w:pageBreakBefore w:val="0"/>
        <w:widowControl/>
        <w:suppressLineNumbers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val="0"/>
        <w:snapToGrid w:val="0"/>
        <w:spacing w:line="460" w:lineRule="exact"/>
        <w:ind w:firstLine="840" w:firstLineChars="300"/>
        <w:jc w:val="left"/>
        <w:textAlignment w:val="auto"/>
        <w:rPr>
          <w:rFonts w:hint="eastAsia" w:ascii="仿宋_GB2312" w:hAnsi="仿宋_GB2312" w:eastAsia="仿宋_GB2312" w:cs="仿宋_GB2312"/>
          <w:kern w:val="0"/>
          <w:sz w:val="28"/>
          <w:szCs w:val="28"/>
          <w:lang w:val="en-US" w:eastAsia="zh-CN" w:bidi="ar"/>
        </w:rPr>
      </w:pPr>
      <w:r>
        <w:rPr>
          <w:rFonts w:hint="eastAsia" w:ascii="仿宋_GB2312" w:hAnsi="仿宋_GB2312" w:eastAsia="仿宋_GB2312" w:cs="仿宋_GB2312"/>
          <w:kern w:val="2"/>
          <w:sz w:val="28"/>
          <w:szCs w:val="28"/>
          <w:lang w:val="en-US" w:eastAsia="zh-CN" w:bidi="ar-SA"/>
        </w:rPr>
        <w:t>结合湖南省中职学校布局优化与“双优计划”推进实际，研究“少而精”中职学校的办学定位、专业设置、质量标准与评价机制，探索中职教育由“规模扩张”转向“精准、精美、精彩”发展的实践路径。</w:t>
      </w:r>
    </w:p>
    <w:p w14:paraId="03AD9CA0">
      <w:pPr>
        <w:keepNext w:val="0"/>
        <w:keepLines w:val="0"/>
        <w:pageBreakBefore w:val="0"/>
        <w:widowControl/>
        <w:suppressLineNumbers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val="0"/>
        <w:snapToGrid w:val="0"/>
        <w:spacing w:line="460" w:lineRule="exact"/>
        <w:jc w:val="left"/>
        <w:textAlignment w:val="auto"/>
        <w:rPr>
          <w:rFonts w:hint="eastAsia" w:ascii="仿宋_GB2312" w:hAnsi="仿宋_GB2312" w:eastAsia="仿宋_GB2312" w:cs="仿宋_GB2312"/>
          <w:kern w:val="0"/>
          <w:sz w:val="28"/>
          <w:szCs w:val="28"/>
          <w:lang w:val="en-US" w:eastAsia="zh-CN" w:bidi="ar"/>
        </w:rPr>
      </w:pPr>
      <w:r>
        <w:rPr>
          <w:rFonts w:hint="eastAsia" w:ascii="仿宋_GB2312" w:hAnsi="仿宋_GB2312" w:eastAsia="仿宋_GB2312" w:cs="仿宋_GB2312"/>
          <w:kern w:val="2"/>
          <w:sz w:val="28"/>
          <w:szCs w:val="28"/>
          <w:lang w:val="en-US" w:eastAsia="zh-CN" w:bidi="ar-SA"/>
        </w:rPr>
        <w:t>13. 教育强国建设背景下职业教育与普通教育融通发展的湖南模式研究</w:t>
      </w:r>
    </w:p>
    <w:p w14:paraId="1F7B55DF">
      <w:pPr>
        <w:keepNext w:val="0"/>
        <w:keepLines w:val="0"/>
        <w:pageBreakBefore w:val="0"/>
        <w:widowControl/>
        <w:suppressLineNumbers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val="0"/>
        <w:snapToGrid w:val="0"/>
        <w:spacing w:line="460" w:lineRule="exact"/>
        <w:ind w:firstLine="560" w:firstLineChars="200"/>
        <w:jc w:val="left"/>
        <w:textAlignment w:val="auto"/>
        <w:rPr>
          <w:rFonts w:hint="eastAsia" w:ascii="仿宋_GB2312" w:hAnsi="仿宋_GB2312" w:eastAsia="仿宋_GB2312" w:cs="仿宋_GB2312"/>
          <w:kern w:val="0"/>
          <w:sz w:val="28"/>
          <w:szCs w:val="28"/>
          <w:lang w:val="en-US" w:eastAsia="zh-CN" w:bidi="ar"/>
        </w:rPr>
      </w:pPr>
      <w:r>
        <w:rPr>
          <w:rFonts w:hint="eastAsia" w:ascii="仿宋_GB2312" w:hAnsi="仿宋_GB2312" w:eastAsia="仿宋_GB2312" w:cs="仿宋_GB2312"/>
          <w:kern w:val="2"/>
          <w:sz w:val="28"/>
          <w:szCs w:val="28"/>
          <w:lang w:val="en-US" w:eastAsia="zh-CN" w:bidi="ar-SA"/>
        </w:rPr>
        <w:t>立足湖南省职普融通改革实践（综合高中试点、课程互选、学分互认等），研究职业教育类型定位下教育体系横向融通的制度设计与实践成效。</w:t>
      </w:r>
    </w:p>
    <w:p w14:paraId="723FF355">
      <w:pPr>
        <w:keepNext w:val="0"/>
        <w:keepLines w:val="0"/>
        <w:pageBreakBefore w:val="0"/>
        <w:widowControl/>
        <w:suppressLineNumbers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val="0"/>
        <w:snapToGrid w:val="0"/>
        <w:spacing w:line="460" w:lineRule="exact"/>
        <w:jc w:val="left"/>
        <w:textAlignment w:val="auto"/>
        <w:rPr>
          <w:rFonts w:hint="eastAsia" w:ascii="仿宋_GB2312" w:hAnsi="仿宋_GB2312" w:eastAsia="仿宋_GB2312" w:cs="仿宋_GB2312"/>
          <w:kern w:val="0"/>
          <w:sz w:val="28"/>
          <w:szCs w:val="28"/>
          <w:lang w:val="en-US" w:eastAsia="zh-CN" w:bidi="ar"/>
        </w:rPr>
      </w:pPr>
    </w:p>
    <w:p w14:paraId="36A55A34">
      <w:pPr>
        <w:keepNext w:val="0"/>
        <w:keepLines w:val="0"/>
        <w:pageBreakBefore w:val="0"/>
        <w:widowControl/>
        <w:suppressLineNumbers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val="0"/>
        <w:snapToGrid w:val="0"/>
        <w:spacing w:line="460" w:lineRule="exact"/>
        <w:jc w:val="left"/>
        <w:textAlignment w:val="auto"/>
        <w:rPr>
          <w:rFonts w:hint="eastAsia" w:ascii="仿宋_GB2312" w:hAnsi="仿宋_GB2312" w:eastAsia="仿宋_GB2312" w:cs="仿宋_GB2312"/>
          <w:b/>
          <w:bCs/>
          <w:kern w:val="0"/>
          <w:sz w:val="28"/>
          <w:szCs w:val="28"/>
          <w:lang w:val="en-US" w:eastAsia="zh-CN" w:bidi="ar"/>
        </w:rPr>
      </w:pPr>
      <w:r>
        <w:rPr>
          <w:rFonts w:hint="eastAsia" w:ascii="仿宋_GB2312" w:hAnsi="仿宋_GB2312" w:eastAsia="仿宋_GB2312" w:cs="仿宋_GB2312"/>
          <w:b/>
          <w:bCs/>
          <w:kern w:val="2"/>
          <w:sz w:val="28"/>
          <w:szCs w:val="28"/>
          <w:lang w:val="en-US" w:eastAsia="zh-CN" w:bidi="ar-SA"/>
        </w:rPr>
        <w:t>方向四：职业教育教学关键要素改革与“双高建设计划”</w:t>
      </w:r>
    </w:p>
    <w:p w14:paraId="1821CFEB">
      <w:pPr>
        <w:keepNext w:val="0"/>
        <w:keepLines w:val="0"/>
        <w:pageBreakBefore w:val="0"/>
        <w:widowControl/>
        <w:suppressLineNumbers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val="0"/>
        <w:snapToGrid w:val="0"/>
        <w:spacing w:line="460" w:lineRule="exact"/>
        <w:jc w:val="left"/>
        <w:textAlignment w:val="auto"/>
        <w:rPr>
          <w:rFonts w:hint="eastAsia" w:ascii="仿宋_GB2312" w:hAnsi="仿宋_GB2312" w:eastAsia="仿宋_GB2312" w:cs="仿宋_GB2312"/>
          <w:kern w:val="0"/>
          <w:sz w:val="28"/>
          <w:szCs w:val="28"/>
          <w:lang w:val="en-US" w:eastAsia="zh-CN" w:bidi="ar"/>
        </w:rPr>
      </w:pPr>
      <w:r>
        <w:rPr>
          <w:rFonts w:hint="eastAsia" w:ascii="仿宋_GB2312" w:hAnsi="仿宋_GB2312" w:eastAsia="仿宋_GB2312" w:cs="仿宋_GB2312"/>
          <w:kern w:val="2"/>
          <w:sz w:val="28"/>
          <w:szCs w:val="28"/>
          <w:lang w:val="en-US" w:eastAsia="zh-CN" w:bidi="ar-SA"/>
        </w:rPr>
        <w:t>14. 职业教育教学关键要素联动改革的湖南实践与效能评价研究</w:t>
      </w:r>
    </w:p>
    <w:p w14:paraId="4D13C92A">
      <w:pPr>
        <w:keepNext w:val="0"/>
        <w:keepLines w:val="0"/>
        <w:pageBreakBefore w:val="0"/>
        <w:widowControl/>
        <w:suppressLineNumbers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val="0"/>
        <w:snapToGrid w:val="0"/>
        <w:spacing w:line="460" w:lineRule="exact"/>
        <w:ind w:firstLine="560" w:firstLineChars="200"/>
        <w:jc w:val="left"/>
        <w:textAlignment w:val="auto"/>
        <w:rPr>
          <w:rFonts w:hint="eastAsia" w:ascii="仿宋_GB2312" w:hAnsi="仿宋_GB2312" w:eastAsia="仿宋_GB2312" w:cs="仿宋_GB2312"/>
          <w:kern w:val="0"/>
          <w:sz w:val="28"/>
          <w:szCs w:val="28"/>
          <w:lang w:val="en-US" w:eastAsia="zh-CN" w:bidi="ar"/>
        </w:rPr>
      </w:pPr>
      <w:r>
        <w:rPr>
          <w:rFonts w:hint="eastAsia" w:ascii="仿宋_GB2312" w:hAnsi="仿宋_GB2312" w:eastAsia="仿宋_GB2312" w:cs="仿宋_GB2312"/>
          <w:kern w:val="2"/>
          <w:sz w:val="28"/>
          <w:szCs w:val="28"/>
          <w:lang w:val="en-US" w:eastAsia="zh-CN" w:bidi="ar-SA"/>
        </w:rPr>
        <w:t>以教育部《关于深化职业教育教学关键要素改革的意见》为指导，结合湖南省“新双高”院校改革实践，研究专业、课程、教材、教师、实习实训五大要素的系统联动机制与改革实施效能。</w:t>
      </w:r>
    </w:p>
    <w:p w14:paraId="78B7E42B">
      <w:pPr>
        <w:keepNext w:val="0"/>
        <w:keepLines w:val="0"/>
        <w:pageBreakBefore w:val="0"/>
        <w:widowControl/>
        <w:suppressLineNumbers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val="0"/>
        <w:snapToGrid w:val="0"/>
        <w:spacing w:line="460" w:lineRule="exact"/>
        <w:jc w:val="left"/>
        <w:textAlignment w:val="auto"/>
        <w:rPr>
          <w:rFonts w:hint="eastAsia" w:ascii="仿宋_GB2312" w:hAnsi="仿宋_GB2312" w:eastAsia="仿宋_GB2312" w:cs="仿宋_GB2312"/>
          <w:kern w:val="0"/>
          <w:sz w:val="28"/>
          <w:szCs w:val="28"/>
          <w:lang w:val="en-US" w:eastAsia="zh-CN" w:bidi="ar"/>
        </w:rPr>
      </w:pPr>
      <w:r>
        <w:rPr>
          <w:rFonts w:hint="eastAsia" w:ascii="仿宋_GB2312" w:hAnsi="仿宋_GB2312" w:eastAsia="仿宋_GB2312" w:cs="仿宋_GB2312"/>
          <w:kern w:val="2"/>
          <w:sz w:val="28"/>
          <w:szCs w:val="28"/>
          <w:lang w:val="en-US" w:eastAsia="zh-CN" w:bidi="ar-SA"/>
        </w:rPr>
        <w:t>15. 高技能人才集群培养视域下职业教育教学组织形态创新研究——以湖南省“三组长制”实践为例</w:t>
      </w:r>
    </w:p>
    <w:p w14:paraId="6690221C">
      <w:pPr>
        <w:keepNext w:val="0"/>
        <w:keepLines w:val="0"/>
        <w:pageBreakBefore w:val="0"/>
        <w:widowControl/>
        <w:suppressLineNumbers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val="0"/>
        <w:snapToGrid w:val="0"/>
        <w:spacing w:line="460" w:lineRule="exact"/>
        <w:ind w:firstLine="560" w:firstLineChars="200"/>
        <w:jc w:val="left"/>
        <w:textAlignment w:val="auto"/>
        <w:rPr>
          <w:rFonts w:hint="eastAsia" w:ascii="仿宋_GB2312" w:hAnsi="仿宋_GB2312" w:eastAsia="仿宋_GB2312" w:cs="仿宋_GB2312"/>
          <w:kern w:val="0"/>
          <w:sz w:val="28"/>
          <w:szCs w:val="28"/>
          <w:lang w:val="en-US" w:eastAsia="zh-CN" w:bidi="ar"/>
        </w:rPr>
      </w:pPr>
      <w:r>
        <w:rPr>
          <w:rFonts w:hint="eastAsia" w:ascii="仿宋_GB2312" w:hAnsi="仿宋_GB2312" w:eastAsia="仿宋_GB2312" w:cs="仿宋_GB2312"/>
          <w:kern w:val="2"/>
          <w:sz w:val="28"/>
          <w:szCs w:val="28"/>
          <w:lang w:val="en-US" w:eastAsia="zh-CN" w:bidi="ar-SA"/>
        </w:rPr>
        <w:t>选取湖南省高技能人才集群培养试点职业院校作为案例，研究“头部企业+高水平学校+行业组织”协同育人的组织机制与运行模式。</w:t>
      </w:r>
    </w:p>
    <w:p w14:paraId="2157E468">
      <w:pPr>
        <w:keepNext w:val="0"/>
        <w:keepLines w:val="0"/>
        <w:pageBreakBefore w:val="0"/>
        <w:widowControl/>
        <w:suppressLineNumbers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val="0"/>
        <w:snapToGrid w:val="0"/>
        <w:spacing w:line="460" w:lineRule="exact"/>
        <w:jc w:val="left"/>
        <w:textAlignment w:val="auto"/>
        <w:rPr>
          <w:rFonts w:hint="eastAsia" w:ascii="仿宋_GB2312" w:hAnsi="仿宋_GB2312" w:eastAsia="仿宋_GB2312" w:cs="仿宋_GB2312"/>
          <w:kern w:val="0"/>
          <w:sz w:val="28"/>
          <w:szCs w:val="28"/>
          <w:lang w:val="en-US" w:eastAsia="zh-CN" w:bidi="ar"/>
        </w:rPr>
      </w:pPr>
      <w:r>
        <w:rPr>
          <w:rFonts w:hint="eastAsia" w:ascii="仿宋_GB2312" w:hAnsi="仿宋_GB2312" w:eastAsia="仿宋_GB2312" w:cs="仿宋_GB2312"/>
          <w:kern w:val="2"/>
          <w:sz w:val="28"/>
          <w:szCs w:val="28"/>
          <w:lang w:val="en-US" w:eastAsia="zh-CN" w:bidi="ar-SA"/>
        </w:rPr>
        <w:t>16. 数智化背景下关键要素协同改革的评价标准与制度保障研究</w:t>
      </w:r>
    </w:p>
    <w:p w14:paraId="68FE9C1C">
      <w:pPr>
        <w:keepNext w:val="0"/>
        <w:keepLines w:val="0"/>
        <w:pageBreakBefore w:val="0"/>
        <w:widowControl/>
        <w:suppressLineNumbers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val="0"/>
        <w:snapToGrid w:val="0"/>
        <w:spacing w:line="460" w:lineRule="exact"/>
        <w:ind w:firstLine="560" w:firstLineChars="200"/>
        <w:jc w:val="left"/>
        <w:textAlignment w:val="auto"/>
        <w:rPr>
          <w:rFonts w:hint="eastAsia" w:ascii="仿宋_GB2312" w:hAnsi="仿宋_GB2312" w:eastAsia="仿宋_GB2312" w:cs="仿宋_GB2312"/>
          <w:kern w:val="0"/>
          <w:sz w:val="28"/>
          <w:szCs w:val="28"/>
          <w:lang w:val="en-US" w:eastAsia="zh-CN" w:bidi="ar"/>
        </w:rPr>
      </w:pPr>
      <w:r>
        <w:rPr>
          <w:rFonts w:hint="eastAsia" w:ascii="仿宋_GB2312" w:hAnsi="仿宋_GB2312" w:eastAsia="仿宋_GB2312" w:cs="仿宋_GB2312"/>
          <w:kern w:val="2"/>
          <w:sz w:val="28"/>
          <w:szCs w:val="28"/>
          <w:lang w:val="en-US" w:eastAsia="zh-CN" w:bidi="ar-SA"/>
        </w:rPr>
        <w:t>面向职业教育数智化转型发展，研究师资、课程、平台、治理等关键要素协同改革的评价标准，梳理改革推进过程中的机制障碍，构建配套制度保障体系，为职业教育数智化综合改革提供评估依据与制度支撑。</w:t>
      </w:r>
    </w:p>
    <w:p w14:paraId="7E9986B9">
      <w:pPr>
        <w:keepNext w:val="0"/>
        <w:keepLines w:val="0"/>
        <w:pageBreakBefore w:val="0"/>
        <w:widowControl/>
        <w:suppressLineNumbers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val="0"/>
        <w:snapToGrid w:val="0"/>
        <w:spacing w:line="460" w:lineRule="exact"/>
        <w:jc w:val="left"/>
        <w:textAlignment w:val="auto"/>
        <w:rPr>
          <w:rFonts w:hint="eastAsia" w:ascii="仿宋_GB2312" w:hAnsi="仿宋_GB2312" w:eastAsia="仿宋_GB2312" w:cs="仿宋_GB2312"/>
          <w:kern w:val="0"/>
          <w:sz w:val="28"/>
          <w:szCs w:val="28"/>
          <w:lang w:val="en-US" w:eastAsia="zh-CN" w:bidi="ar"/>
        </w:rPr>
      </w:pPr>
    </w:p>
    <w:p w14:paraId="4EBDC52B">
      <w:pPr>
        <w:keepNext w:val="0"/>
        <w:keepLines w:val="0"/>
        <w:pageBreakBefore w:val="0"/>
        <w:widowControl/>
        <w:suppressLineNumbers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val="0"/>
        <w:snapToGrid w:val="0"/>
        <w:spacing w:line="460" w:lineRule="exact"/>
        <w:jc w:val="left"/>
        <w:textAlignment w:val="auto"/>
        <w:rPr>
          <w:rFonts w:hint="eastAsia" w:ascii="仿宋_GB2312" w:hAnsi="仿宋_GB2312" w:eastAsia="仿宋_GB2312" w:cs="仿宋_GB2312"/>
          <w:kern w:val="0"/>
          <w:sz w:val="28"/>
          <w:szCs w:val="28"/>
          <w:lang w:val="en-US" w:eastAsia="zh-CN" w:bidi="ar"/>
        </w:rPr>
      </w:pPr>
      <w:r>
        <w:rPr>
          <w:rFonts w:hint="eastAsia" w:ascii="仿宋_GB2312" w:hAnsi="仿宋_GB2312" w:eastAsia="仿宋_GB2312" w:cs="仿宋_GB2312"/>
          <w:kern w:val="2"/>
          <w:sz w:val="28"/>
          <w:szCs w:val="28"/>
          <w:lang w:val="en-US" w:eastAsia="zh-CN" w:bidi="ar-SA"/>
        </w:rPr>
        <w:t>17. 产业数智化转型下技术技能人才能力重塑机制与岗位能力图谱研究</w:t>
      </w:r>
    </w:p>
    <w:p w14:paraId="3732071C">
      <w:pPr>
        <w:keepNext w:val="0"/>
        <w:keepLines w:val="0"/>
        <w:pageBreakBefore w:val="0"/>
        <w:widowControl/>
        <w:suppressLineNumbers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val="0"/>
        <w:snapToGrid w:val="0"/>
        <w:spacing w:line="460" w:lineRule="exact"/>
        <w:ind w:firstLine="560" w:firstLineChars="200"/>
        <w:jc w:val="left"/>
        <w:textAlignment w:val="auto"/>
        <w:rPr>
          <w:rFonts w:hint="eastAsia" w:ascii="仿宋_GB2312" w:hAnsi="仿宋_GB2312" w:eastAsia="仿宋_GB2312" w:cs="仿宋_GB2312"/>
          <w:kern w:val="0"/>
          <w:sz w:val="28"/>
          <w:szCs w:val="28"/>
          <w:lang w:val="en-US" w:eastAsia="zh-CN" w:bidi="ar"/>
        </w:rPr>
      </w:pPr>
      <w:r>
        <w:rPr>
          <w:rFonts w:hint="eastAsia" w:ascii="仿宋_GB2312" w:hAnsi="仿宋_GB2312" w:eastAsia="仿宋_GB2312" w:cs="仿宋_GB2312"/>
          <w:kern w:val="2"/>
          <w:sz w:val="28"/>
          <w:szCs w:val="28"/>
          <w:lang w:val="en-US" w:eastAsia="zh-CN" w:bidi="ar-SA"/>
        </w:rPr>
        <w:t>围绕产业数智化转型发展趋势，剖析行业岗位能力迭代、人才结构重塑的内在机理，构建适配产业发展的技术技能岗位能力图谱，为职业院校人才培养改革、课程重构、精准育人提供依据。</w:t>
      </w:r>
    </w:p>
    <w:p w14:paraId="08033746">
      <w:pPr>
        <w:keepNext w:val="0"/>
        <w:keepLines w:val="0"/>
        <w:pageBreakBefore w:val="0"/>
        <w:widowControl/>
        <w:suppressLineNumbers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val="0"/>
        <w:snapToGrid w:val="0"/>
        <w:spacing w:line="460" w:lineRule="exact"/>
        <w:jc w:val="left"/>
        <w:textAlignment w:val="auto"/>
        <w:rPr>
          <w:rFonts w:hint="eastAsia" w:ascii="仿宋_GB2312" w:hAnsi="仿宋_GB2312" w:eastAsia="仿宋_GB2312" w:cs="仿宋_GB2312"/>
          <w:kern w:val="0"/>
          <w:sz w:val="28"/>
          <w:szCs w:val="28"/>
          <w:lang w:val="en-US" w:eastAsia="zh-CN" w:bidi="ar"/>
        </w:rPr>
      </w:pPr>
      <w:r>
        <w:rPr>
          <w:rFonts w:hint="eastAsia" w:ascii="仿宋_GB2312" w:hAnsi="仿宋_GB2312" w:eastAsia="仿宋_GB2312" w:cs="仿宋_GB2312"/>
          <w:kern w:val="2"/>
          <w:sz w:val="28"/>
          <w:szCs w:val="28"/>
          <w:lang w:val="en-US" w:eastAsia="zh-CN" w:bidi="ar-SA"/>
        </w:rPr>
        <w:t>18. 人工智能时代职业院校未来学习与实训中心建设标准与运行机制研究</w:t>
      </w:r>
    </w:p>
    <w:p w14:paraId="0195FDFB">
      <w:pPr>
        <w:keepNext w:val="0"/>
        <w:keepLines w:val="0"/>
        <w:pageBreakBefore w:val="0"/>
        <w:widowControl/>
        <w:suppressLineNumbers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val="0"/>
        <w:snapToGrid w:val="0"/>
        <w:spacing w:line="460" w:lineRule="exact"/>
        <w:ind w:firstLine="560" w:firstLineChars="200"/>
        <w:jc w:val="left"/>
        <w:textAlignment w:val="auto"/>
        <w:rPr>
          <w:rFonts w:hint="eastAsia" w:ascii="仿宋_GB2312" w:hAnsi="仿宋_GB2312" w:eastAsia="仿宋_GB2312" w:cs="仿宋_GB2312"/>
          <w:kern w:val="0"/>
          <w:sz w:val="28"/>
          <w:szCs w:val="28"/>
          <w:lang w:val="en-US" w:eastAsia="zh-CN" w:bidi="ar"/>
        </w:rPr>
      </w:pPr>
      <w:r>
        <w:rPr>
          <w:rFonts w:hint="eastAsia" w:ascii="仿宋_GB2312" w:hAnsi="仿宋_GB2312" w:eastAsia="仿宋_GB2312" w:cs="仿宋_GB2312"/>
          <w:kern w:val="2"/>
          <w:sz w:val="28"/>
          <w:szCs w:val="28"/>
          <w:lang w:val="en-US" w:eastAsia="zh-CN" w:bidi="ar-SA"/>
        </w:rPr>
        <w:t>结合人工智能教育各类应用场景，探索职业院校未来学习与实训中心规范化建设标准，梳理中心运营管理、资源赋能、实训育人的运行机制，为职业教育实训阵地数字化、智能化升级提供制度参考与实践支撑。</w:t>
      </w:r>
    </w:p>
    <w:p w14:paraId="5C521397">
      <w:pPr>
        <w:keepNext w:val="0"/>
        <w:keepLines w:val="0"/>
        <w:pageBreakBefore w:val="0"/>
        <w:widowControl/>
        <w:suppressLineNumbers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val="0"/>
        <w:snapToGrid w:val="0"/>
        <w:spacing w:line="460" w:lineRule="exact"/>
        <w:jc w:val="left"/>
        <w:textAlignment w:val="auto"/>
        <w:rPr>
          <w:rFonts w:hint="eastAsia" w:ascii="仿宋_GB2312" w:hAnsi="仿宋_GB2312" w:eastAsia="仿宋_GB2312" w:cs="仿宋_GB2312"/>
          <w:kern w:val="0"/>
          <w:sz w:val="28"/>
          <w:szCs w:val="28"/>
          <w:lang w:val="en-US" w:eastAsia="zh-CN" w:bidi="ar"/>
        </w:rPr>
      </w:pPr>
    </w:p>
    <w:p w14:paraId="63E4CBAE">
      <w:pPr>
        <w:keepNext w:val="0"/>
        <w:keepLines w:val="0"/>
        <w:pageBreakBefore w:val="0"/>
        <w:widowControl/>
        <w:suppressLineNumbers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val="0"/>
        <w:snapToGrid w:val="0"/>
        <w:spacing w:line="460" w:lineRule="exact"/>
        <w:jc w:val="left"/>
        <w:textAlignment w:val="auto"/>
        <w:rPr>
          <w:rFonts w:hint="eastAsia" w:ascii="仿宋_GB2312" w:hAnsi="仿宋_GB2312" w:eastAsia="仿宋_GB2312" w:cs="仿宋_GB2312"/>
          <w:b/>
          <w:bCs/>
          <w:kern w:val="0"/>
          <w:sz w:val="28"/>
          <w:szCs w:val="28"/>
          <w:lang w:val="en-US" w:eastAsia="zh-CN" w:bidi="ar"/>
        </w:rPr>
      </w:pPr>
      <w:r>
        <w:rPr>
          <w:rFonts w:hint="eastAsia" w:ascii="仿宋_GB2312" w:hAnsi="仿宋_GB2312" w:eastAsia="仿宋_GB2312" w:cs="仿宋_GB2312"/>
          <w:b/>
          <w:bCs/>
          <w:kern w:val="2"/>
          <w:sz w:val="28"/>
          <w:szCs w:val="28"/>
          <w:lang w:val="en-US" w:eastAsia="zh-CN" w:bidi="ar-SA"/>
        </w:rPr>
        <w:t>方向五：职教特色育人体系与职业本科专业建设</w:t>
      </w:r>
    </w:p>
    <w:p w14:paraId="4ACA05EC">
      <w:pPr>
        <w:keepNext w:val="0"/>
        <w:keepLines w:val="0"/>
        <w:pageBreakBefore w:val="0"/>
        <w:widowControl/>
        <w:suppressLineNumbers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val="0"/>
        <w:snapToGrid w:val="0"/>
        <w:spacing w:line="460" w:lineRule="exact"/>
        <w:jc w:val="left"/>
        <w:textAlignment w:val="auto"/>
        <w:rPr>
          <w:rFonts w:hint="eastAsia" w:ascii="仿宋_GB2312" w:hAnsi="仿宋_GB2312" w:eastAsia="仿宋_GB2312" w:cs="仿宋_GB2312"/>
          <w:kern w:val="0"/>
          <w:sz w:val="28"/>
          <w:szCs w:val="28"/>
          <w:lang w:val="en-US" w:eastAsia="zh-CN" w:bidi="ar"/>
        </w:rPr>
      </w:pPr>
      <w:r>
        <w:rPr>
          <w:rFonts w:hint="eastAsia" w:ascii="仿宋_GB2312" w:hAnsi="仿宋_GB2312" w:eastAsia="仿宋_GB2312" w:cs="仿宋_GB2312"/>
          <w:kern w:val="2"/>
          <w:sz w:val="28"/>
          <w:szCs w:val="28"/>
          <w:lang w:val="en-US" w:eastAsia="zh-CN" w:bidi="ar-SA"/>
        </w:rPr>
        <w:t>19. 职业本科专业设置与区域产业结构的适配性研究</w:t>
      </w:r>
    </w:p>
    <w:p w14:paraId="0E95A8B8">
      <w:pPr>
        <w:keepNext w:val="0"/>
        <w:keepLines w:val="0"/>
        <w:pageBreakBefore w:val="0"/>
        <w:widowControl/>
        <w:suppressLineNumbers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val="0"/>
        <w:snapToGrid w:val="0"/>
        <w:spacing w:line="460" w:lineRule="exact"/>
        <w:ind w:firstLine="560" w:firstLineChars="200"/>
        <w:jc w:val="left"/>
        <w:textAlignment w:val="auto"/>
        <w:rPr>
          <w:rFonts w:hint="eastAsia" w:ascii="仿宋_GB2312" w:hAnsi="仿宋_GB2312" w:eastAsia="仿宋_GB2312" w:cs="仿宋_GB2312"/>
          <w:kern w:val="0"/>
          <w:sz w:val="28"/>
          <w:szCs w:val="28"/>
          <w:lang w:val="en-US" w:eastAsia="zh-CN" w:bidi="ar"/>
        </w:rPr>
      </w:pPr>
      <w:r>
        <w:rPr>
          <w:rFonts w:hint="eastAsia" w:ascii="仿宋_GB2312" w:hAnsi="仿宋_GB2312" w:eastAsia="仿宋_GB2312" w:cs="仿宋_GB2312"/>
          <w:kern w:val="2"/>
          <w:sz w:val="28"/>
          <w:szCs w:val="28"/>
          <w:lang w:val="en-US" w:eastAsia="zh-CN" w:bidi="ar-SA"/>
        </w:rPr>
        <w:t>结合湖南省职业本科院校建设规划，研究职业本科专业布局与湖南先进制造业、新兴产业的匹配程度，提出专业动态优化策略。</w:t>
      </w:r>
    </w:p>
    <w:p w14:paraId="1D262084">
      <w:pPr>
        <w:keepNext w:val="0"/>
        <w:keepLines w:val="0"/>
        <w:pageBreakBefore w:val="0"/>
        <w:widowControl/>
        <w:suppressLineNumbers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val="0"/>
        <w:snapToGrid w:val="0"/>
        <w:spacing w:line="460" w:lineRule="exact"/>
        <w:jc w:val="left"/>
        <w:textAlignment w:val="auto"/>
        <w:rPr>
          <w:rFonts w:hint="eastAsia" w:ascii="仿宋_GB2312" w:hAnsi="仿宋_GB2312" w:eastAsia="仿宋_GB2312" w:cs="仿宋_GB2312"/>
          <w:kern w:val="0"/>
          <w:sz w:val="28"/>
          <w:szCs w:val="28"/>
          <w:lang w:val="en-US" w:eastAsia="zh-CN" w:bidi="ar"/>
        </w:rPr>
      </w:pPr>
      <w:r>
        <w:rPr>
          <w:rFonts w:hint="eastAsia" w:ascii="仿宋_GB2312" w:hAnsi="仿宋_GB2312" w:eastAsia="仿宋_GB2312" w:cs="仿宋_GB2312"/>
          <w:kern w:val="2"/>
          <w:sz w:val="28"/>
          <w:szCs w:val="28"/>
          <w:lang w:val="en-US" w:eastAsia="zh-CN" w:bidi="ar-SA"/>
        </w:rPr>
        <w:t>20. 职业本科层次“现场工程师”培养的课程体系重构与实践路径研究</w:t>
      </w:r>
    </w:p>
    <w:p w14:paraId="785B0268">
      <w:pPr>
        <w:keepNext w:val="0"/>
        <w:keepLines w:val="0"/>
        <w:pageBreakBefore w:val="0"/>
        <w:widowControl/>
        <w:suppressLineNumbers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val="0"/>
        <w:snapToGrid w:val="0"/>
        <w:spacing w:line="460" w:lineRule="exact"/>
        <w:ind w:firstLine="560" w:firstLineChars="200"/>
        <w:jc w:val="left"/>
        <w:textAlignment w:val="auto"/>
        <w:rPr>
          <w:rFonts w:hint="eastAsia" w:ascii="仿宋_GB2312" w:hAnsi="仿宋_GB2312" w:eastAsia="仿宋_GB2312" w:cs="仿宋_GB2312"/>
          <w:kern w:val="0"/>
          <w:sz w:val="28"/>
          <w:szCs w:val="28"/>
          <w:lang w:val="en-US" w:eastAsia="zh-CN" w:bidi="ar"/>
        </w:rPr>
      </w:pPr>
      <w:r>
        <w:rPr>
          <w:rFonts w:hint="eastAsia" w:ascii="仿宋_GB2312" w:hAnsi="仿宋_GB2312" w:eastAsia="仿宋_GB2312" w:cs="仿宋_GB2312"/>
          <w:kern w:val="2"/>
          <w:sz w:val="28"/>
          <w:szCs w:val="28"/>
          <w:lang w:val="en-US" w:eastAsia="zh-CN" w:bidi="ar-SA"/>
        </w:rPr>
        <w:t>紧扣职业本科高层次技术技能人才培养定位，研究面向复杂生产场景的课程体系设计、实践教学体系构建以及学生“能思善做”综合能力的培育路径。</w:t>
      </w:r>
    </w:p>
    <w:p w14:paraId="143B6845">
      <w:pPr>
        <w:keepNext w:val="0"/>
        <w:keepLines w:val="0"/>
        <w:pageBreakBefore w:val="0"/>
        <w:widowControl/>
        <w:suppressLineNumbers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val="0"/>
        <w:snapToGrid w:val="0"/>
        <w:spacing w:line="460" w:lineRule="exact"/>
        <w:jc w:val="left"/>
        <w:textAlignment w:val="auto"/>
        <w:rPr>
          <w:rFonts w:hint="eastAsia" w:ascii="仿宋_GB2312" w:hAnsi="仿宋_GB2312" w:eastAsia="仿宋_GB2312" w:cs="仿宋_GB2312"/>
          <w:kern w:val="0"/>
          <w:sz w:val="28"/>
          <w:szCs w:val="28"/>
          <w:lang w:val="en-US" w:eastAsia="zh-CN" w:bidi="ar"/>
        </w:rPr>
      </w:pPr>
    </w:p>
    <w:p w14:paraId="2B19D05A">
      <w:pPr>
        <w:keepNext w:val="0"/>
        <w:keepLines w:val="0"/>
        <w:pageBreakBefore w:val="0"/>
        <w:widowControl/>
        <w:suppressLineNumbers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val="0"/>
        <w:snapToGrid w:val="0"/>
        <w:spacing w:line="460" w:lineRule="exact"/>
        <w:jc w:val="left"/>
        <w:textAlignment w:val="auto"/>
        <w:rPr>
          <w:rFonts w:hint="eastAsia" w:ascii="仿宋_GB2312" w:hAnsi="仿宋_GB2312" w:eastAsia="仿宋_GB2312" w:cs="仿宋_GB2312"/>
          <w:kern w:val="0"/>
          <w:sz w:val="28"/>
          <w:szCs w:val="28"/>
          <w:lang w:val="en-US" w:eastAsia="zh-CN" w:bidi="ar"/>
        </w:rPr>
      </w:pPr>
      <w:r>
        <w:rPr>
          <w:rFonts w:hint="eastAsia" w:ascii="仿宋_GB2312" w:hAnsi="仿宋_GB2312" w:eastAsia="仿宋_GB2312" w:cs="仿宋_GB2312"/>
          <w:kern w:val="2"/>
          <w:sz w:val="28"/>
          <w:szCs w:val="28"/>
          <w:lang w:val="en-US" w:eastAsia="zh-CN" w:bidi="ar-SA"/>
        </w:rPr>
        <w:t>21. 中高本一体化人才培养的模式与机制研究</w:t>
      </w:r>
    </w:p>
    <w:p w14:paraId="138A9BFB">
      <w:pPr>
        <w:keepNext w:val="0"/>
        <w:keepLines w:val="0"/>
        <w:pageBreakBefore w:val="0"/>
        <w:widowControl/>
        <w:suppressLineNumbers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val="0"/>
        <w:snapToGrid w:val="0"/>
        <w:spacing w:line="460" w:lineRule="exact"/>
        <w:ind w:firstLine="560" w:firstLineChars="200"/>
        <w:jc w:val="left"/>
        <w:textAlignment w:val="auto"/>
        <w:rPr>
          <w:rFonts w:hint="eastAsia" w:ascii="仿宋_GB2312" w:hAnsi="仿宋_GB2312" w:eastAsia="仿宋_GB2312" w:cs="仿宋_GB2312"/>
          <w:kern w:val="0"/>
          <w:sz w:val="28"/>
          <w:szCs w:val="28"/>
          <w:lang w:val="en-US" w:eastAsia="zh-CN" w:bidi="ar"/>
        </w:rPr>
      </w:pPr>
      <w:r>
        <w:rPr>
          <w:rFonts w:hint="eastAsia" w:ascii="仿宋_GB2312" w:hAnsi="仿宋_GB2312" w:eastAsia="仿宋_GB2312" w:cs="仿宋_GB2312"/>
          <w:kern w:val="2"/>
          <w:sz w:val="28"/>
          <w:szCs w:val="28"/>
          <w:lang w:val="en-US" w:eastAsia="zh-CN" w:bidi="ar-SA"/>
        </w:rPr>
        <w:t>围绕中职、高职、职业本科纵向贯通人才培养，研究中高本一体化人才培养实施模式，剖析课程衔接、转段评价、产教协同等运行机制现存问题，结合区域产业发展需求，提出贯通育人体系优化完善的对策建议。</w:t>
      </w:r>
    </w:p>
    <w:p w14:paraId="227D9EDD">
      <w:pPr>
        <w:keepNext w:val="0"/>
        <w:keepLines w:val="0"/>
        <w:pageBreakBefore w:val="0"/>
        <w:widowControl/>
        <w:suppressLineNumbers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val="0"/>
        <w:snapToGrid w:val="0"/>
        <w:spacing w:line="460" w:lineRule="exact"/>
        <w:jc w:val="left"/>
        <w:textAlignment w:val="auto"/>
        <w:rPr>
          <w:rFonts w:hint="eastAsia" w:ascii="仿宋_GB2312" w:hAnsi="仿宋_GB2312" w:eastAsia="仿宋_GB2312" w:cs="仿宋_GB2312"/>
          <w:kern w:val="0"/>
          <w:sz w:val="28"/>
          <w:szCs w:val="28"/>
          <w:lang w:val="en-US" w:eastAsia="zh-CN" w:bidi="ar"/>
        </w:rPr>
      </w:pPr>
      <w:r>
        <w:rPr>
          <w:rFonts w:hint="eastAsia" w:ascii="仿宋_GB2312" w:hAnsi="仿宋_GB2312" w:eastAsia="仿宋_GB2312" w:cs="仿宋_GB2312"/>
          <w:kern w:val="2"/>
          <w:sz w:val="28"/>
          <w:szCs w:val="28"/>
          <w:lang w:val="en-US" w:eastAsia="zh-CN" w:bidi="ar-SA"/>
        </w:rPr>
        <w:t>22. 职教高考制度背景下“文化素质+职业技能”评价体系的优化研究——以湖南省为例</w:t>
      </w:r>
    </w:p>
    <w:p w14:paraId="1A565B96">
      <w:pPr>
        <w:keepNext w:val="0"/>
        <w:keepLines w:val="0"/>
        <w:pageBreakBefore w:val="0"/>
        <w:widowControl/>
        <w:suppressLineNumbers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val="0"/>
        <w:snapToGrid w:val="0"/>
        <w:spacing w:line="460" w:lineRule="exact"/>
        <w:ind w:firstLine="560" w:firstLineChars="200"/>
        <w:jc w:val="left"/>
        <w:textAlignment w:val="auto"/>
        <w:rPr>
          <w:rFonts w:hint="eastAsia" w:ascii="仿宋_GB2312" w:hAnsi="仿宋_GB2312" w:eastAsia="仿宋_GB2312" w:cs="仿宋_GB2312"/>
          <w:kern w:val="0"/>
          <w:sz w:val="28"/>
          <w:szCs w:val="28"/>
          <w:lang w:val="en-US" w:eastAsia="zh-CN" w:bidi="ar"/>
        </w:rPr>
      </w:pPr>
      <w:r>
        <w:rPr>
          <w:rFonts w:hint="eastAsia" w:ascii="仿宋_GB2312" w:hAnsi="仿宋_GB2312" w:eastAsia="仿宋_GB2312" w:cs="仿宋_GB2312"/>
          <w:kern w:val="2"/>
          <w:sz w:val="28"/>
          <w:szCs w:val="28"/>
          <w:lang w:val="en-US" w:eastAsia="zh-CN" w:bidi="ar-SA"/>
        </w:rPr>
        <w:t>研究职教高考技能考核的科学性、公平性与可操作性，探索适配不同专业大类特征的分类评价方案，服务湖南省职教高考改革工作。</w:t>
      </w:r>
    </w:p>
    <w:p w14:paraId="30739052">
      <w:pPr>
        <w:keepNext w:val="0"/>
        <w:keepLines w:val="0"/>
        <w:pageBreakBefore w:val="0"/>
        <w:widowControl/>
        <w:suppressLineNumbers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val="0"/>
        <w:snapToGrid w:val="0"/>
        <w:spacing w:line="460" w:lineRule="exact"/>
        <w:jc w:val="left"/>
        <w:textAlignment w:val="auto"/>
        <w:rPr>
          <w:rFonts w:hint="eastAsia" w:ascii="仿宋_GB2312" w:hAnsi="仿宋_GB2312" w:eastAsia="仿宋_GB2312" w:cs="仿宋_GB2312"/>
          <w:kern w:val="0"/>
          <w:sz w:val="28"/>
          <w:szCs w:val="28"/>
          <w:lang w:val="en-US" w:eastAsia="zh-CN" w:bidi="ar"/>
        </w:rPr>
      </w:pPr>
      <w:r>
        <w:rPr>
          <w:rFonts w:hint="eastAsia" w:ascii="仿宋_GB2312" w:hAnsi="仿宋_GB2312" w:eastAsia="仿宋_GB2312" w:cs="仿宋_GB2312"/>
          <w:kern w:val="2"/>
          <w:sz w:val="28"/>
          <w:szCs w:val="28"/>
          <w:lang w:val="en-US" w:eastAsia="zh-CN" w:bidi="ar-SA"/>
        </w:rPr>
        <w:t>23. 中高职衔接背景下专业能力图谱构建与课程一体化开发研究</w:t>
      </w:r>
    </w:p>
    <w:p w14:paraId="6153C707">
      <w:pPr>
        <w:keepNext w:val="0"/>
        <w:keepLines w:val="0"/>
        <w:pageBreakBefore w:val="0"/>
        <w:widowControl/>
        <w:suppressLineNumbers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val="0"/>
        <w:snapToGrid w:val="0"/>
        <w:spacing w:line="460" w:lineRule="exact"/>
        <w:ind w:firstLine="560" w:firstLineChars="200"/>
        <w:jc w:val="left"/>
        <w:textAlignment w:val="auto"/>
        <w:rPr>
          <w:rFonts w:hint="eastAsia" w:ascii="仿宋_GB2312" w:hAnsi="仿宋_GB2312" w:eastAsia="仿宋_GB2312" w:cs="仿宋_GB2312"/>
          <w:kern w:val="0"/>
          <w:sz w:val="28"/>
          <w:szCs w:val="28"/>
          <w:lang w:val="en-US" w:eastAsia="zh-CN" w:bidi="ar"/>
        </w:rPr>
      </w:pPr>
      <w:r>
        <w:rPr>
          <w:rFonts w:hint="eastAsia" w:ascii="仿宋_GB2312" w:hAnsi="仿宋_GB2312" w:eastAsia="仿宋_GB2312" w:cs="仿宋_GB2312"/>
          <w:kern w:val="2"/>
          <w:sz w:val="28"/>
          <w:szCs w:val="28"/>
          <w:lang w:val="en-US" w:eastAsia="zh-CN" w:bidi="ar-SA"/>
        </w:rPr>
        <w:t>选取湖南省重点专业大类开展研究，探索由职业岗位能力图谱转化形成中高本一体化课程体系的技术路径与实施策略。</w:t>
      </w:r>
    </w:p>
    <w:p w14:paraId="007C1FE5">
      <w:pPr>
        <w:keepNext w:val="0"/>
        <w:keepLines w:val="0"/>
        <w:pageBreakBefore w:val="0"/>
        <w:widowControl/>
        <w:suppressLineNumbers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val="0"/>
        <w:snapToGrid w:val="0"/>
        <w:spacing w:line="460" w:lineRule="exact"/>
        <w:jc w:val="left"/>
        <w:textAlignment w:val="auto"/>
        <w:rPr>
          <w:rFonts w:hint="eastAsia" w:ascii="仿宋_GB2312" w:hAnsi="仿宋_GB2312" w:eastAsia="仿宋_GB2312" w:cs="仿宋_GB2312"/>
          <w:kern w:val="0"/>
          <w:sz w:val="28"/>
          <w:szCs w:val="28"/>
          <w:lang w:val="en-US" w:eastAsia="zh-CN" w:bidi="ar"/>
        </w:rPr>
      </w:pPr>
      <w:r>
        <w:rPr>
          <w:rFonts w:hint="eastAsia" w:ascii="仿宋_GB2312" w:hAnsi="仿宋_GB2312" w:eastAsia="仿宋_GB2312" w:cs="仿宋_GB2312"/>
          <w:kern w:val="2"/>
          <w:sz w:val="28"/>
          <w:szCs w:val="28"/>
          <w:lang w:val="en-US" w:eastAsia="zh-CN" w:bidi="ar-SA"/>
        </w:rPr>
        <w:t>24. 中职学生“升学有通道、就业有优势”的双轨成才路径研究</w:t>
      </w:r>
    </w:p>
    <w:p w14:paraId="4F127583">
      <w:pPr>
        <w:keepNext w:val="0"/>
        <w:keepLines w:val="0"/>
        <w:pageBreakBefore w:val="0"/>
        <w:widowControl/>
        <w:suppressLineNumbers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val="0"/>
        <w:snapToGrid w:val="0"/>
        <w:spacing w:line="460" w:lineRule="exact"/>
        <w:ind w:firstLine="560" w:firstLineChars="200"/>
        <w:jc w:val="left"/>
        <w:textAlignment w:val="auto"/>
        <w:rPr>
          <w:rFonts w:hint="eastAsia" w:ascii="仿宋_GB2312" w:hAnsi="仿宋_GB2312" w:eastAsia="仿宋_GB2312" w:cs="仿宋_GB2312"/>
          <w:kern w:val="0"/>
          <w:sz w:val="28"/>
          <w:szCs w:val="28"/>
          <w:lang w:val="en-US" w:eastAsia="zh-CN" w:bidi="ar"/>
        </w:rPr>
      </w:pPr>
      <w:r>
        <w:rPr>
          <w:rFonts w:hint="eastAsia" w:ascii="仿宋_GB2312" w:hAnsi="仿宋_GB2312" w:eastAsia="仿宋_GB2312" w:cs="仿宋_GB2312"/>
          <w:kern w:val="2"/>
          <w:sz w:val="28"/>
          <w:szCs w:val="28"/>
          <w:lang w:val="en-US" w:eastAsia="zh-CN" w:bidi="ar-SA"/>
        </w:rPr>
        <w:t>立足中职学生多元成长发展需求，研究就业与升学并行的双轨育人模式，梳理两类发展路径现存堵点，探索分类培养实施机制，为中职学校搭建多元成才培养体系提供实践参考。</w:t>
      </w:r>
    </w:p>
    <w:p w14:paraId="522842A5">
      <w:pPr>
        <w:keepNext w:val="0"/>
        <w:keepLines w:val="0"/>
        <w:pageBreakBefore w:val="0"/>
        <w:widowControl/>
        <w:suppressLineNumbers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val="0"/>
        <w:snapToGrid w:val="0"/>
        <w:spacing w:line="460" w:lineRule="exact"/>
        <w:jc w:val="left"/>
        <w:textAlignment w:val="auto"/>
        <w:rPr>
          <w:rFonts w:hint="eastAsia" w:ascii="仿宋_GB2312" w:hAnsi="仿宋_GB2312" w:eastAsia="仿宋_GB2312" w:cs="仿宋_GB2312"/>
          <w:kern w:val="0"/>
          <w:sz w:val="28"/>
          <w:szCs w:val="28"/>
          <w:lang w:val="en-US" w:eastAsia="zh-CN" w:bidi="ar"/>
        </w:rPr>
      </w:pPr>
      <w:r>
        <w:rPr>
          <w:rFonts w:hint="eastAsia" w:ascii="仿宋_GB2312" w:hAnsi="仿宋_GB2312" w:eastAsia="仿宋_GB2312" w:cs="仿宋_GB2312"/>
          <w:kern w:val="2"/>
          <w:sz w:val="28"/>
          <w:szCs w:val="28"/>
          <w:lang w:val="en-US" w:eastAsia="zh-CN" w:bidi="ar-SA"/>
        </w:rPr>
        <w:t>25. 职教高考评价体系、命题及录取机制研究</w:t>
      </w:r>
    </w:p>
    <w:p w14:paraId="0D08E74C">
      <w:pPr>
        <w:keepNext w:val="0"/>
        <w:keepLines w:val="0"/>
        <w:pageBreakBefore w:val="0"/>
        <w:widowControl/>
        <w:suppressLineNumbers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val="0"/>
        <w:snapToGrid w:val="0"/>
        <w:spacing w:line="460" w:lineRule="exact"/>
        <w:ind w:firstLine="560" w:firstLineChars="200"/>
        <w:jc w:val="left"/>
        <w:textAlignment w:val="auto"/>
        <w:rPr>
          <w:rFonts w:hint="eastAsia" w:ascii="仿宋_GB2312" w:hAnsi="仿宋_GB2312" w:eastAsia="仿宋_GB2312" w:cs="仿宋_GB2312"/>
          <w:kern w:val="0"/>
          <w:sz w:val="28"/>
          <w:szCs w:val="28"/>
          <w:lang w:val="en-US" w:eastAsia="zh-CN" w:bidi="ar"/>
        </w:rPr>
      </w:pPr>
      <w:r>
        <w:rPr>
          <w:rFonts w:hint="eastAsia" w:ascii="仿宋_GB2312" w:hAnsi="仿宋_GB2312" w:eastAsia="仿宋_GB2312" w:cs="仿宋_GB2312"/>
          <w:kern w:val="2"/>
          <w:sz w:val="28"/>
          <w:szCs w:val="28"/>
          <w:lang w:val="en-US" w:eastAsia="zh-CN" w:bidi="ar-SA"/>
        </w:rPr>
        <w:t>围绕职教高考文化素质与职业技能考核工作，探究评价体系构建、命题规范设计、招生录取运行机制，为完善职教高考人才选拔制度提供参考。</w:t>
      </w:r>
    </w:p>
    <w:p w14:paraId="5422196F">
      <w:pPr>
        <w:keepNext w:val="0"/>
        <w:keepLines w:val="0"/>
        <w:pageBreakBefore w:val="0"/>
        <w:widowControl/>
        <w:suppressLineNumbers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val="0"/>
        <w:snapToGrid w:val="0"/>
        <w:spacing w:line="460" w:lineRule="exact"/>
        <w:jc w:val="left"/>
        <w:textAlignment w:val="auto"/>
        <w:rPr>
          <w:rFonts w:hint="eastAsia" w:ascii="仿宋_GB2312" w:hAnsi="仿宋_GB2312" w:eastAsia="仿宋_GB2312" w:cs="仿宋_GB2312"/>
          <w:kern w:val="0"/>
          <w:sz w:val="28"/>
          <w:szCs w:val="28"/>
          <w:lang w:val="en-US" w:eastAsia="zh-CN" w:bidi="ar"/>
        </w:rPr>
      </w:pPr>
    </w:p>
    <w:p w14:paraId="5F354788">
      <w:pPr>
        <w:keepNext w:val="0"/>
        <w:keepLines w:val="0"/>
        <w:pageBreakBefore w:val="0"/>
        <w:widowControl/>
        <w:suppressLineNumbers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val="0"/>
        <w:snapToGrid w:val="0"/>
        <w:spacing w:line="460" w:lineRule="exact"/>
        <w:jc w:val="left"/>
        <w:textAlignment w:val="auto"/>
        <w:rPr>
          <w:rFonts w:hint="eastAsia" w:ascii="仿宋_GB2312" w:hAnsi="仿宋_GB2312" w:eastAsia="仿宋_GB2312" w:cs="仿宋_GB2312"/>
          <w:kern w:val="0"/>
          <w:sz w:val="28"/>
          <w:szCs w:val="28"/>
          <w:lang w:val="en-US" w:eastAsia="zh-CN" w:bidi="ar"/>
        </w:rPr>
      </w:pPr>
    </w:p>
    <w:p w14:paraId="75794A4D">
      <w:pPr>
        <w:keepNext w:val="0"/>
        <w:keepLines w:val="0"/>
        <w:pageBreakBefore w:val="0"/>
        <w:widowControl/>
        <w:suppressLineNumbers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val="0"/>
        <w:snapToGrid w:val="0"/>
        <w:spacing w:line="460" w:lineRule="exact"/>
        <w:jc w:val="left"/>
        <w:textAlignment w:val="auto"/>
        <w:rPr>
          <w:rFonts w:hint="eastAsia" w:ascii="仿宋_GB2312" w:hAnsi="仿宋_GB2312" w:eastAsia="仿宋_GB2312" w:cs="仿宋_GB2312"/>
          <w:kern w:val="0"/>
          <w:sz w:val="28"/>
          <w:szCs w:val="28"/>
          <w:lang w:val="en-US" w:eastAsia="zh-CN" w:bidi="ar"/>
        </w:rPr>
      </w:pPr>
      <w:r>
        <w:rPr>
          <w:rFonts w:hint="eastAsia" w:ascii="仿宋_GB2312" w:hAnsi="仿宋_GB2312" w:eastAsia="仿宋_GB2312" w:cs="仿宋_GB2312"/>
          <w:b/>
          <w:bCs/>
          <w:kern w:val="2"/>
          <w:sz w:val="28"/>
          <w:szCs w:val="28"/>
          <w:lang w:val="en-US" w:eastAsia="zh-CN" w:bidi="ar-SA"/>
        </w:rPr>
        <w:t>方向六：产科教一体化与产教融合</w:t>
      </w:r>
    </w:p>
    <w:p w14:paraId="5E18ED6C">
      <w:pPr>
        <w:keepNext w:val="0"/>
        <w:keepLines w:val="0"/>
        <w:pageBreakBefore w:val="0"/>
        <w:widowControl/>
        <w:suppressLineNumbers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val="0"/>
        <w:snapToGrid w:val="0"/>
        <w:spacing w:line="460" w:lineRule="exact"/>
        <w:jc w:val="left"/>
        <w:textAlignment w:val="auto"/>
        <w:rPr>
          <w:rFonts w:hint="eastAsia" w:ascii="仿宋_GB2312" w:hAnsi="仿宋_GB2312" w:eastAsia="仿宋_GB2312" w:cs="仿宋_GB2312"/>
          <w:kern w:val="0"/>
          <w:sz w:val="28"/>
          <w:szCs w:val="28"/>
          <w:lang w:val="en-US" w:eastAsia="zh-CN" w:bidi="ar"/>
        </w:rPr>
      </w:pPr>
      <w:r>
        <w:rPr>
          <w:rFonts w:hint="eastAsia" w:ascii="仿宋_GB2312" w:hAnsi="仿宋_GB2312" w:eastAsia="仿宋_GB2312" w:cs="仿宋_GB2312"/>
          <w:kern w:val="2"/>
          <w:sz w:val="28"/>
          <w:szCs w:val="28"/>
          <w:lang w:val="en-US" w:eastAsia="zh-CN" w:bidi="ar-SA"/>
        </w:rPr>
        <w:t>26. 面向湖南“4×4”现代化产业体系的产教融合共同体实体化运行机制研究</w:t>
      </w:r>
    </w:p>
    <w:p w14:paraId="216AA0C0">
      <w:pPr>
        <w:keepNext w:val="0"/>
        <w:keepLines w:val="0"/>
        <w:pageBreakBefore w:val="0"/>
        <w:widowControl/>
        <w:suppressLineNumbers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val="0"/>
        <w:snapToGrid w:val="0"/>
        <w:spacing w:line="460" w:lineRule="exact"/>
        <w:ind w:firstLine="560" w:firstLineChars="200"/>
        <w:jc w:val="left"/>
        <w:textAlignment w:val="auto"/>
        <w:rPr>
          <w:rFonts w:hint="eastAsia" w:ascii="仿宋_GB2312" w:hAnsi="仿宋_GB2312" w:eastAsia="仿宋_GB2312" w:cs="仿宋_GB2312"/>
          <w:kern w:val="0"/>
          <w:sz w:val="28"/>
          <w:szCs w:val="28"/>
          <w:lang w:val="en-US" w:eastAsia="zh-CN" w:bidi="ar"/>
        </w:rPr>
      </w:pPr>
      <w:r>
        <w:rPr>
          <w:rFonts w:hint="eastAsia" w:ascii="仿宋_GB2312" w:hAnsi="仿宋_GB2312" w:eastAsia="仿宋_GB2312" w:cs="仿宋_GB2312"/>
          <w:kern w:val="2"/>
          <w:sz w:val="28"/>
          <w:szCs w:val="28"/>
          <w:lang w:val="en-US" w:eastAsia="zh-CN" w:bidi="ar-SA"/>
        </w:rPr>
        <w:t>选取湖南省部分行业产教融合共同体作为案例，研究推动产教融合共同体从“挂牌成立”转向“实体化运行、项目化落地”的机制创新路径。</w:t>
      </w:r>
    </w:p>
    <w:p w14:paraId="538DB82E">
      <w:pPr>
        <w:keepNext w:val="0"/>
        <w:keepLines w:val="0"/>
        <w:pageBreakBefore w:val="0"/>
        <w:widowControl/>
        <w:suppressLineNumbers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val="0"/>
        <w:snapToGrid w:val="0"/>
        <w:spacing w:line="460" w:lineRule="exact"/>
        <w:jc w:val="left"/>
        <w:textAlignment w:val="auto"/>
        <w:rPr>
          <w:rFonts w:hint="eastAsia" w:ascii="仿宋_GB2312" w:hAnsi="仿宋_GB2312" w:eastAsia="仿宋_GB2312" w:cs="仿宋_GB2312"/>
          <w:kern w:val="0"/>
          <w:sz w:val="28"/>
          <w:szCs w:val="28"/>
          <w:lang w:val="en-US" w:eastAsia="zh-CN" w:bidi="ar"/>
        </w:rPr>
      </w:pPr>
      <w:r>
        <w:rPr>
          <w:rFonts w:hint="eastAsia" w:ascii="仿宋_GB2312" w:hAnsi="仿宋_GB2312" w:eastAsia="仿宋_GB2312" w:cs="仿宋_GB2312"/>
          <w:kern w:val="2"/>
          <w:sz w:val="28"/>
          <w:szCs w:val="28"/>
          <w:lang w:val="en-US" w:eastAsia="zh-CN" w:bidi="ar-SA"/>
        </w:rPr>
        <w:t>27. 市域产教联合体服务县域特色产业发展的路径研究——以湖南省典型联合体为例</w:t>
      </w:r>
    </w:p>
    <w:p w14:paraId="74D503E0">
      <w:pPr>
        <w:keepNext w:val="0"/>
        <w:keepLines w:val="0"/>
        <w:pageBreakBefore w:val="0"/>
        <w:widowControl/>
        <w:suppressLineNumbers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val="0"/>
        <w:snapToGrid w:val="0"/>
        <w:spacing w:line="460" w:lineRule="exact"/>
        <w:ind w:firstLine="560" w:firstLineChars="200"/>
        <w:jc w:val="left"/>
        <w:textAlignment w:val="auto"/>
        <w:rPr>
          <w:rFonts w:hint="eastAsia" w:ascii="仿宋_GB2312" w:hAnsi="仿宋_GB2312" w:eastAsia="仿宋_GB2312" w:cs="仿宋_GB2312"/>
          <w:kern w:val="0"/>
          <w:sz w:val="28"/>
          <w:szCs w:val="28"/>
          <w:lang w:val="en-US" w:eastAsia="zh-CN" w:bidi="ar"/>
        </w:rPr>
      </w:pPr>
      <w:r>
        <w:rPr>
          <w:rFonts w:hint="eastAsia" w:ascii="仿宋_GB2312" w:hAnsi="仿宋_GB2312" w:eastAsia="仿宋_GB2312" w:cs="仿宋_GB2312"/>
          <w:kern w:val="2"/>
          <w:sz w:val="28"/>
          <w:szCs w:val="28"/>
          <w:lang w:val="en-US" w:eastAsia="zh-CN" w:bidi="ar-SA"/>
        </w:rPr>
        <w:t>立足湖南省市域产教联合体建设实际，研究联合体对接县域特色产业集群，推动技能人才本地供给与产业升级双向赋能的互动机制。</w:t>
      </w:r>
    </w:p>
    <w:p w14:paraId="6DCEBD09">
      <w:pPr>
        <w:keepNext w:val="0"/>
        <w:keepLines w:val="0"/>
        <w:pageBreakBefore w:val="0"/>
        <w:widowControl/>
        <w:suppressLineNumbers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val="0"/>
        <w:snapToGrid w:val="0"/>
        <w:spacing w:line="460" w:lineRule="exact"/>
        <w:jc w:val="left"/>
        <w:textAlignment w:val="auto"/>
        <w:rPr>
          <w:rFonts w:hint="eastAsia" w:ascii="仿宋_GB2312" w:hAnsi="仿宋_GB2312" w:eastAsia="仿宋_GB2312" w:cs="仿宋_GB2312"/>
          <w:kern w:val="0"/>
          <w:sz w:val="28"/>
          <w:szCs w:val="28"/>
          <w:lang w:val="en-US" w:eastAsia="zh-CN" w:bidi="ar"/>
        </w:rPr>
      </w:pPr>
      <w:r>
        <w:rPr>
          <w:rFonts w:hint="eastAsia" w:ascii="仿宋_GB2312" w:hAnsi="仿宋_GB2312" w:eastAsia="仿宋_GB2312" w:cs="仿宋_GB2312"/>
          <w:kern w:val="2"/>
          <w:sz w:val="28"/>
          <w:szCs w:val="28"/>
          <w:lang w:val="en-US" w:eastAsia="zh-CN" w:bidi="ar-SA"/>
        </w:rPr>
        <w:t>28. 企业技术资源向职业教育教学资源转化的机制与路径研究</w:t>
      </w:r>
    </w:p>
    <w:p w14:paraId="2E3C10D4">
      <w:pPr>
        <w:keepNext w:val="0"/>
        <w:keepLines w:val="0"/>
        <w:pageBreakBefore w:val="0"/>
        <w:widowControl/>
        <w:suppressLineNumbers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val="0"/>
        <w:snapToGrid w:val="0"/>
        <w:spacing w:line="460" w:lineRule="exact"/>
        <w:ind w:firstLine="560" w:firstLineChars="200"/>
        <w:jc w:val="left"/>
        <w:textAlignment w:val="auto"/>
        <w:rPr>
          <w:rFonts w:hint="eastAsia" w:ascii="仿宋_GB2312" w:hAnsi="仿宋_GB2312" w:eastAsia="仿宋_GB2312" w:cs="仿宋_GB2312"/>
          <w:kern w:val="0"/>
          <w:sz w:val="28"/>
          <w:szCs w:val="28"/>
          <w:lang w:val="en-US" w:eastAsia="zh-CN" w:bidi="ar"/>
        </w:rPr>
      </w:pPr>
      <w:r>
        <w:rPr>
          <w:rFonts w:hint="eastAsia" w:ascii="仿宋_GB2312" w:hAnsi="仿宋_GB2312" w:eastAsia="仿宋_GB2312" w:cs="仿宋_GB2312"/>
          <w:kern w:val="2"/>
          <w:sz w:val="28"/>
          <w:szCs w:val="28"/>
          <w:lang w:val="en-US" w:eastAsia="zh-CN" w:bidi="ar-SA"/>
        </w:rPr>
        <w:t>研究头部企业技术标准、生产场景、职业岗位能力图谱转化为专业教学标准、课程内容、实训项目的实现机制，探索校企互利共赢的长效合作模式。</w:t>
      </w:r>
    </w:p>
    <w:p w14:paraId="0E6177CE">
      <w:pPr>
        <w:keepNext w:val="0"/>
        <w:keepLines w:val="0"/>
        <w:pageBreakBefore w:val="0"/>
        <w:widowControl/>
        <w:suppressLineNumbers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val="0"/>
        <w:snapToGrid w:val="0"/>
        <w:spacing w:line="460" w:lineRule="exact"/>
        <w:jc w:val="left"/>
        <w:textAlignment w:val="auto"/>
        <w:rPr>
          <w:rFonts w:hint="eastAsia" w:ascii="仿宋_GB2312" w:hAnsi="仿宋_GB2312" w:eastAsia="仿宋_GB2312" w:cs="仿宋_GB2312"/>
          <w:kern w:val="0"/>
          <w:sz w:val="28"/>
          <w:szCs w:val="28"/>
          <w:lang w:val="en-US" w:eastAsia="zh-CN" w:bidi="ar"/>
        </w:rPr>
      </w:pPr>
      <w:r>
        <w:rPr>
          <w:rFonts w:hint="eastAsia" w:ascii="仿宋_GB2312" w:hAnsi="仿宋_GB2312" w:eastAsia="仿宋_GB2312" w:cs="仿宋_GB2312"/>
          <w:kern w:val="2"/>
          <w:sz w:val="28"/>
          <w:szCs w:val="28"/>
          <w:lang w:val="en-US" w:eastAsia="zh-CN" w:bidi="ar-SA"/>
        </w:rPr>
        <w:t>29. 产科教一体化背景下职业院校技术技能创新平台建设研究——以湖南省职业院校工程研究中心为例</w:t>
      </w:r>
    </w:p>
    <w:p w14:paraId="6CF1CC51">
      <w:pPr>
        <w:keepNext w:val="0"/>
        <w:keepLines w:val="0"/>
        <w:pageBreakBefore w:val="0"/>
        <w:widowControl/>
        <w:suppressLineNumbers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val="0"/>
        <w:snapToGrid w:val="0"/>
        <w:spacing w:line="460" w:lineRule="exact"/>
        <w:ind w:firstLine="560" w:firstLineChars="200"/>
        <w:jc w:val="left"/>
        <w:textAlignment w:val="auto"/>
        <w:rPr>
          <w:rFonts w:hint="eastAsia" w:ascii="仿宋_GB2312" w:hAnsi="仿宋_GB2312" w:eastAsia="仿宋_GB2312" w:cs="仿宋_GB2312"/>
          <w:kern w:val="0"/>
          <w:sz w:val="28"/>
          <w:szCs w:val="28"/>
          <w:lang w:val="en-US" w:eastAsia="zh-CN" w:bidi="ar"/>
        </w:rPr>
      </w:pPr>
      <w:r>
        <w:rPr>
          <w:rFonts w:hint="eastAsia" w:ascii="仿宋_GB2312" w:hAnsi="仿宋_GB2312" w:eastAsia="仿宋_GB2312" w:cs="仿宋_GB2312"/>
          <w:kern w:val="2"/>
          <w:sz w:val="28"/>
          <w:szCs w:val="28"/>
          <w:lang w:val="en-US" w:eastAsia="zh-CN" w:bidi="ar-SA"/>
        </w:rPr>
        <w:t>选取湖南省部分职业院校省级工程研究中心作为案例，研究职业院校技术服务平台在“教学—研发—转化”一体化建设中的功能定位与运行机制。</w:t>
      </w:r>
    </w:p>
    <w:p w14:paraId="4BC05FA0">
      <w:pPr>
        <w:keepNext w:val="0"/>
        <w:keepLines w:val="0"/>
        <w:pageBreakBefore w:val="0"/>
        <w:widowControl/>
        <w:suppressLineNumbers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val="0"/>
        <w:snapToGrid w:val="0"/>
        <w:spacing w:line="460" w:lineRule="exact"/>
        <w:jc w:val="left"/>
        <w:textAlignment w:val="auto"/>
        <w:rPr>
          <w:rFonts w:hint="eastAsia" w:ascii="仿宋_GB2312" w:hAnsi="仿宋_GB2312" w:eastAsia="仿宋_GB2312" w:cs="仿宋_GB2312"/>
          <w:kern w:val="0"/>
          <w:sz w:val="28"/>
          <w:szCs w:val="28"/>
          <w:lang w:val="en-US" w:eastAsia="zh-CN" w:bidi="ar"/>
        </w:rPr>
      </w:pPr>
      <w:r>
        <w:rPr>
          <w:rFonts w:hint="eastAsia" w:ascii="仿宋_GB2312" w:hAnsi="仿宋_GB2312" w:eastAsia="仿宋_GB2312" w:cs="仿宋_GB2312"/>
          <w:kern w:val="2"/>
          <w:sz w:val="28"/>
          <w:szCs w:val="28"/>
          <w:lang w:val="en-US" w:eastAsia="zh-CN" w:bidi="ar-SA"/>
        </w:rPr>
        <w:t>30. 联合体与共同体的绩效评价与动态调整制度研究</w:t>
      </w:r>
    </w:p>
    <w:p w14:paraId="39D49A3F">
      <w:pPr>
        <w:keepNext w:val="0"/>
        <w:keepLines w:val="0"/>
        <w:pageBreakBefore w:val="0"/>
        <w:widowControl/>
        <w:suppressLineNumbers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val="0"/>
        <w:snapToGrid w:val="0"/>
        <w:spacing w:line="460" w:lineRule="exact"/>
        <w:ind w:firstLine="560" w:firstLineChars="200"/>
        <w:jc w:val="left"/>
        <w:textAlignment w:val="auto"/>
        <w:rPr>
          <w:rFonts w:hint="eastAsia" w:ascii="仿宋_GB2312" w:hAnsi="仿宋_GB2312" w:eastAsia="仿宋_GB2312" w:cs="仿宋_GB2312"/>
          <w:kern w:val="0"/>
          <w:sz w:val="28"/>
          <w:szCs w:val="28"/>
          <w:lang w:val="en-US" w:eastAsia="zh-CN" w:bidi="ar"/>
        </w:rPr>
      </w:pPr>
      <w:r>
        <w:rPr>
          <w:rFonts w:hint="eastAsia" w:ascii="仿宋_GB2312" w:hAnsi="仿宋_GB2312" w:eastAsia="仿宋_GB2312" w:cs="仿宋_GB2312"/>
          <w:kern w:val="2"/>
          <w:sz w:val="28"/>
          <w:szCs w:val="28"/>
          <w:lang w:val="en-US" w:eastAsia="zh-CN" w:bidi="ar-SA"/>
        </w:rPr>
        <w:t>围绕职业教育产教联合体、产教融合共同体建设，研究其绩效评价指标体系，探索组织组建、运行实施、考核激励、动态调整的制度机制；针对建设成效不足、进出机制不通畅等问题，提出完善对策，助力各类育人共同体高质量可持续发展。</w:t>
      </w:r>
    </w:p>
    <w:p w14:paraId="2DADC1B6">
      <w:pPr>
        <w:keepNext w:val="0"/>
        <w:keepLines w:val="0"/>
        <w:pageBreakBefore w:val="0"/>
        <w:widowControl/>
        <w:suppressLineNumbers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val="0"/>
        <w:snapToGrid w:val="0"/>
        <w:spacing w:line="460" w:lineRule="exact"/>
        <w:jc w:val="left"/>
        <w:textAlignment w:val="auto"/>
        <w:rPr>
          <w:rFonts w:hint="eastAsia" w:ascii="仿宋_GB2312" w:hAnsi="仿宋_GB2312" w:eastAsia="仿宋_GB2312" w:cs="仿宋_GB2312"/>
          <w:kern w:val="0"/>
          <w:sz w:val="28"/>
          <w:szCs w:val="28"/>
          <w:lang w:val="en-US" w:eastAsia="zh-CN" w:bidi="ar"/>
        </w:rPr>
      </w:pPr>
      <w:r>
        <w:rPr>
          <w:rFonts w:hint="eastAsia" w:ascii="仿宋_GB2312" w:hAnsi="仿宋_GB2312" w:eastAsia="仿宋_GB2312" w:cs="仿宋_GB2312"/>
          <w:kern w:val="2"/>
          <w:sz w:val="28"/>
          <w:szCs w:val="28"/>
          <w:lang w:val="en-US" w:eastAsia="zh-CN" w:bidi="ar-SA"/>
        </w:rPr>
        <w:t>31. 湖南省典型联合体运行实效的实证比较研究</w:t>
      </w:r>
    </w:p>
    <w:p w14:paraId="739C74EA">
      <w:pPr>
        <w:keepNext w:val="0"/>
        <w:keepLines w:val="0"/>
        <w:pageBreakBefore w:val="0"/>
        <w:widowControl/>
        <w:suppressLineNumbers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val="0"/>
        <w:snapToGrid w:val="0"/>
        <w:spacing w:line="460" w:lineRule="exact"/>
        <w:ind w:firstLine="560" w:firstLineChars="200"/>
        <w:jc w:val="left"/>
        <w:textAlignment w:val="auto"/>
        <w:rPr>
          <w:rFonts w:hint="eastAsia" w:ascii="仿宋_GB2312" w:hAnsi="仿宋_GB2312" w:eastAsia="仿宋_GB2312" w:cs="仿宋_GB2312"/>
          <w:kern w:val="0"/>
          <w:sz w:val="28"/>
          <w:szCs w:val="28"/>
          <w:lang w:val="en-US" w:eastAsia="zh-CN" w:bidi="ar"/>
        </w:rPr>
      </w:pPr>
      <w:r>
        <w:rPr>
          <w:rFonts w:hint="eastAsia" w:ascii="仿宋_GB2312" w:hAnsi="仿宋_GB2312" w:eastAsia="仿宋_GB2312" w:cs="仿宋_GB2312"/>
          <w:kern w:val="2"/>
          <w:sz w:val="28"/>
          <w:szCs w:val="28"/>
          <w:lang w:val="en-US" w:eastAsia="zh-CN" w:bidi="ar-SA"/>
        </w:rPr>
        <w:t>对湖南省典型产教联合体开展实地调研与横向对比，评估联合体实际运行成效，总结不同类型联合体建设经验与现存短板，为产教联合体高质量建设提供对策。</w:t>
      </w:r>
    </w:p>
    <w:p w14:paraId="6200603E">
      <w:pPr>
        <w:keepNext w:val="0"/>
        <w:keepLines w:val="0"/>
        <w:pageBreakBefore w:val="0"/>
        <w:widowControl/>
        <w:suppressLineNumbers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val="0"/>
        <w:snapToGrid w:val="0"/>
        <w:spacing w:line="460" w:lineRule="exact"/>
        <w:jc w:val="left"/>
        <w:textAlignment w:val="auto"/>
        <w:rPr>
          <w:rFonts w:hint="eastAsia" w:ascii="仿宋_GB2312" w:hAnsi="仿宋_GB2312" w:eastAsia="仿宋_GB2312" w:cs="仿宋_GB2312"/>
          <w:kern w:val="0"/>
          <w:sz w:val="28"/>
          <w:szCs w:val="28"/>
          <w:lang w:val="en-US" w:eastAsia="zh-CN" w:bidi="ar"/>
        </w:rPr>
      </w:pPr>
    </w:p>
    <w:p w14:paraId="7D500F5A">
      <w:pPr>
        <w:keepNext w:val="0"/>
        <w:keepLines w:val="0"/>
        <w:pageBreakBefore w:val="0"/>
        <w:widowControl/>
        <w:suppressLineNumbers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val="0"/>
        <w:snapToGrid w:val="0"/>
        <w:spacing w:line="460" w:lineRule="exact"/>
        <w:jc w:val="left"/>
        <w:textAlignment w:val="auto"/>
        <w:rPr>
          <w:rFonts w:hint="eastAsia" w:ascii="仿宋_GB2312" w:hAnsi="仿宋_GB2312" w:eastAsia="仿宋_GB2312" w:cs="仿宋_GB2312"/>
          <w:b/>
          <w:bCs/>
          <w:kern w:val="0"/>
          <w:sz w:val="28"/>
          <w:szCs w:val="28"/>
          <w:lang w:val="en-US" w:eastAsia="zh-CN" w:bidi="ar"/>
        </w:rPr>
      </w:pPr>
      <w:r>
        <w:rPr>
          <w:rFonts w:hint="eastAsia" w:ascii="仿宋_GB2312" w:hAnsi="仿宋_GB2312" w:eastAsia="仿宋_GB2312" w:cs="仿宋_GB2312"/>
          <w:b/>
          <w:bCs/>
          <w:kern w:val="2"/>
          <w:sz w:val="28"/>
          <w:szCs w:val="28"/>
          <w:lang w:val="en-US" w:eastAsia="zh-CN" w:bidi="ar-SA"/>
        </w:rPr>
        <w:t>方向七：微专业、AI赋能与职业教育数字化转型</w:t>
      </w:r>
    </w:p>
    <w:p w14:paraId="2CF5F771">
      <w:pPr>
        <w:keepNext w:val="0"/>
        <w:keepLines w:val="0"/>
        <w:pageBreakBefore w:val="0"/>
        <w:widowControl/>
        <w:suppressLineNumbers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val="0"/>
        <w:snapToGrid w:val="0"/>
        <w:spacing w:line="460" w:lineRule="exact"/>
        <w:jc w:val="left"/>
        <w:textAlignment w:val="auto"/>
        <w:rPr>
          <w:rFonts w:hint="eastAsia" w:ascii="仿宋_GB2312" w:hAnsi="仿宋_GB2312" w:eastAsia="仿宋_GB2312" w:cs="仿宋_GB2312"/>
          <w:kern w:val="0"/>
          <w:sz w:val="28"/>
          <w:szCs w:val="28"/>
          <w:lang w:val="en-US" w:eastAsia="zh-CN" w:bidi="ar"/>
        </w:rPr>
      </w:pPr>
      <w:r>
        <w:rPr>
          <w:rFonts w:hint="eastAsia" w:ascii="仿宋_GB2312" w:hAnsi="仿宋_GB2312" w:eastAsia="仿宋_GB2312" w:cs="仿宋_GB2312"/>
          <w:kern w:val="2"/>
          <w:sz w:val="28"/>
          <w:szCs w:val="28"/>
          <w:lang w:val="en-US" w:eastAsia="zh-CN" w:bidi="ar-SA"/>
        </w:rPr>
        <w:t>32. “AI+微专业”赋能高技能人才复合能力培养的实践研究——以湖南省职业院校微专业建设为例</w:t>
      </w:r>
    </w:p>
    <w:p w14:paraId="7D7AAC2D">
      <w:pPr>
        <w:keepNext w:val="0"/>
        <w:keepLines w:val="0"/>
        <w:pageBreakBefore w:val="0"/>
        <w:widowControl/>
        <w:suppressLineNumbers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val="0"/>
        <w:snapToGrid w:val="0"/>
        <w:spacing w:line="460" w:lineRule="exact"/>
        <w:ind w:firstLine="560" w:firstLineChars="200"/>
        <w:jc w:val="left"/>
        <w:textAlignment w:val="auto"/>
        <w:rPr>
          <w:rFonts w:hint="eastAsia" w:ascii="仿宋_GB2312" w:hAnsi="仿宋_GB2312" w:eastAsia="仿宋_GB2312" w:cs="仿宋_GB2312"/>
          <w:kern w:val="0"/>
          <w:sz w:val="28"/>
          <w:szCs w:val="28"/>
          <w:lang w:val="en-US" w:eastAsia="zh-CN" w:bidi="ar"/>
        </w:rPr>
      </w:pPr>
      <w:r>
        <w:rPr>
          <w:rFonts w:hint="eastAsia" w:ascii="仿宋_GB2312" w:hAnsi="仿宋_GB2312" w:eastAsia="仿宋_GB2312" w:cs="仿宋_GB2312"/>
          <w:kern w:val="2"/>
          <w:sz w:val="28"/>
          <w:szCs w:val="28"/>
          <w:lang w:val="en-US" w:eastAsia="zh-CN" w:bidi="ar-SA"/>
        </w:rPr>
        <w:t>选取湖南省部分职业院校微专业建设案例，研究微专业应对产业快速迭代、培育复合型技能人才的课程设计方法与教学模式创新路径。</w:t>
      </w:r>
    </w:p>
    <w:p w14:paraId="560B04DB">
      <w:pPr>
        <w:keepNext w:val="0"/>
        <w:keepLines w:val="0"/>
        <w:pageBreakBefore w:val="0"/>
        <w:widowControl/>
        <w:suppressLineNumbers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val="0"/>
        <w:snapToGrid w:val="0"/>
        <w:spacing w:line="460" w:lineRule="exact"/>
        <w:jc w:val="left"/>
        <w:textAlignment w:val="auto"/>
        <w:rPr>
          <w:rFonts w:hint="eastAsia" w:ascii="仿宋_GB2312" w:hAnsi="仿宋_GB2312" w:eastAsia="仿宋_GB2312" w:cs="仿宋_GB2312"/>
          <w:kern w:val="0"/>
          <w:sz w:val="28"/>
          <w:szCs w:val="28"/>
          <w:lang w:val="en-US" w:eastAsia="zh-CN" w:bidi="ar"/>
        </w:rPr>
      </w:pPr>
      <w:r>
        <w:rPr>
          <w:rFonts w:hint="eastAsia" w:ascii="仿宋_GB2312" w:hAnsi="仿宋_GB2312" w:eastAsia="仿宋_GB2312" w:cs="仿宋_GB2312"/>
          <w:kern w:val="2"/>
          <w:sz w:val="28"/>
          <w:szCs w:val="28"/>
          <w:lang w:val="en-US" w:eastAsia="zh-CN" w:bidi="ar-SA"/>
        </w:rPr>
        <w:t>33. 人工智能赋能职业教育教学的场景化应用与效能评估研究</w:t>
      </w:r>
    </w:p>
    <w:p w14:paraId="1ECE7016">
      <w:pPr>
        <w:keepNext w:val="0"/>
        <w:keepLines w:val="0"/>
        <w:pageBreakBefore w:val="0"/>
        <w:widowControl/>
        <w:suppressLineNumbers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val="0"/>
        <w:snapToGrid w:val="0"/>
        <w:spacing w:line="460" w:lineRule="exact"/>
        <w:ind w:firstLine="560" w:firstLineChars="200"/>
        <w:jc w:val="left"/>
        <w:textAlignment w:val="auto"/>
        <w:rPr>
          <w:rFonts w:hint="eastAsia" w:ascii="仿宋_GB2312" w:hAnsi="仿宋_GB2312" w:eastAsia="仿宋_GB2312" w:cs="仿宋_GB2312"/>
          <w:kern w:val="0"/>
          <w:sz w:val="28"/>
          <w:szCs w:val="28"/>
          <w:lang w:val="en-US" w:eastAsia="zh-CN" w:bidi="ar"/>
        </w:rPr>
      </w:pPr>
      <w:r>
        <w:rPr>
          <w:rFonts w:hint="eastAsia" w:ascii="仿宋_GB2312" w:hAnsi="仿宋_GB2312" w:eastAsia="仿宋_GB2312" w:cs="仿宋_GB2312"/>
          <w:kern w:val="2"/>
          <w:sz w:val="28"/>
          <w:szCs w:val="28"/>
          <w:lang w:val="en-US" w:eastAsia="zh-CN" w:bidi="ar-SA"/>
        </w:rPr>
        <w:t>研究人工智能技术在职业教育个性化学习、智能实训、学情分析等场景下的应用模式与实施成效，探索“场景式、社区式、预约式”智慧课堂的教学变革路径。</w:t>
      </w:r>
    </w:p>
    <w:p w14:paraId="5BD275F7">
      <w:pPr>
        <w:keepNext w:val="0"/>
        <w:keepLines w:val="0"/>
        <w:pageBreakBefore w:val="0"/>
        <w:widowControl/>
        <w:suppressLineNumbers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val="0"/>
        <w:snapToGrid w:val="0"/>
        <w:spacing w:line="460" w:lineRule="exact"/>
        <w:jc w:val="left"/>
        <w:textAlignment w:val="auto"/>
        <w:rPr>
          <w:rFonts w:hint="eastAsia" w:ascii="仿宋_GB2312" w:hAnsi="仿宋_GB2312" w:eastAsia="仿宋_GB2312" w:cs="仿宋_GB2312"/>
          <w:kern w:val="0"/>
          <w:sz w:val="28"/>
          <w:szCs w:val="28"/>
          <w:lang w:val="en-US" w:eastAsia="zh-CN" w:bidi="ar"/>
        </w:rPr>
      </w:pPr>
      <w:r>
        <w:rPr>
          <w:rFonts w:hint="eastAsia" w:ascii="仿宋_GB2312" w:hAnsi="仿宋_GB2312" w:eastAsia="仿宋_GB2312" w:cs="仿宋_GB2312"/>
          <w:kern w:val="2"/>
          <w:sz w:val="28"/>
          <w:szCs w:val="28"/>
          <w:lang w:val="en-US" w:eastAsia="zh-CN" w:bidi="ar-SA"/>
        </w:rPr>
        <w:t>34. “人工智能+产教融合”虚拟教研室建设的湖南实践与协同教研机制研究</w:t>
      </w:r>
    </w:p>
    <w:p w14:paraId="5E6A6F1B">
      <w:pPr>
        <w:keepNext w:val="0"/>
        <w:keepLines w:val="0"/>
        <w:pageBreakBefore w:val="0"/>
        <w:widowControl/>
        <w:suppressLineNumbers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val="0"/>
        <w:snapToGrid w:val="0"/>
        <w:spacing w:line="460" w:lineRule="exact"/>
        <w:ind w:firstLine="560" w:firstLineChars="200"/>
        <w:jc w:val="left"/>
        <w:textAlignment w:val="auto"/>
        <w:rPr>
          <w:rFonts w:hint="eastAsia" w:ascii="仿宋_GB2312" w:hAnsi="仿宋_GB2312" w:eastAsia="仿宋_GB2312" w:cs="仿宋_GB2312"/>
          <w:kern w:val="0"/>
          <w:sz w:val="28"/>
          <w:szCs w:val="28"/>
          <w:lang w:val="en-US" w:eastAsia="zh-CN" w:bidi="ar"/>
        </w:rPr>
      </w:pPr>
      <w:r>
        <w:rPr>
          <w:rFonts w:hint="eastAsia" w:ascii="仿宋_GB2312" w:hAnsi="仿宋_GB2312" w:eastAsia="仿宋_GB2312" w:cs="仿宋_GB2312"/>
          <w:kern w:val="2"/>
          <w:sz w:val="28"/>
          <w:szCs w:val="28"/>
          <w:lang w:val="en-US" w:eastAsia="zh-CN" w:bidi="ar-SA"/>
        </w:rPr>
        <w:t>结合湖南省部分职业院校虚拟教研室建设实际，研究跨校、跨区域数智化教研协作机制与教学资源共建共享模式。</w:t>
      </w:r>
    </w:p>
    <w:p w14:paraId="597DF29E">
      <w:pPr>
        <w:keepNext w:val="0"/>
        <w:keepLines w:val="0"/>
        <w:pageBreakBefore w:val="0"/>
        <w:widowControl/>
        <w:suppressLineNumbers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val="0"/>
        <w:snapToGrid w:val="0"/>
        <w:spacing w:line="460" w:lineRule="exact"/>
        <w:jc w:val="left"/>
        <w:textAlignment w:val="auto"/>
        <w:rPr>
          <w:rFonts w:hint="eastAsia" w:ascii="仿宋_GB2312" w:hAnsi="仿宋_GB2312" w:eastAsia="仿宋_GB2312" w:cs="仿宋_GB2312"/>
          <w:kern w:val="0"/>
          <w:sz w:val="28"/>
          <w:szCs w:val="28"/>
          <w:lang w:val="en-US" w:eastAsia="zh-CN" w:bidi="ar"/>
        </w:rPr>
      </w:pPr>
      <w:r>
        <w:rPr>
          <w:rFonts w:hint="eastAsia" w:ascii="仿宋_GB2312" w:hAnsi="仿宋_GB2312" w:eastAsia="仿宋_GB2312" w:cs="仿宋_GB2312"/>
          <w:kern w:val="2"/>
          <w:sz w:val="28"/>
          <w:szCs w:val="28"/>
          <w:lang w:val="en-US" w:eastAsia="zh-CN" w:bidi="ar-SA"/>
        </w:rPr>
        <w:t>35. 职业教育数字教材开发的标准体系与推广应用研究</w:t>
      </w:r>
    </w:p>
    <w:p w14:paraId="52BE10F2">
      <w:pPr>
        <w:keepNext w:val="0"/>
        <w:keepLines w:val="0"/>
        <w:pageBreakBefore w:val="0"/>
        <w:widowControl/>
        <w:suppressLineNumbers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val="0"/>
        <w:snapToGrid w:val="0"/>
        <w:spacing w:line="460" w:lineRule="exact"/>
        <w:ind w:firstLine="560" w:firstLineChars="200"/>
        <w:jc w:val="left"/>
        <w:textAlignment w:val="auto"/>
        <w:rPr>
          <w:rFonts w:hint="eastAsia" w:ascii="仿宋_GB2312" w:hAnsi="仿宋_GB2312" w:eastAsia="仿宋_GB2312" w:cs="仿宋_GB2312"/>
          <w:kern w:val="0"/>
          <w:sz w:val="28"/>
          <w:szCs w:val="28"/>
          <w:lang w:val="en-US" w:eastAsia="zh-CN" w:bidi="ar"/>
        </w:rPr>
      </w:pPr>
      <w:r>
        <w:rPr>
          <w:rFonts w:hint="eastAsia" w:ascii="仿宋_GB2312" w:hAnsi="仿宋_GB2312" w:eastAsia="仿宋_GB2312" w:cs="仿宋_GB2312"/>
          <w:kern w:val="2"/>
          <w:sz w:val="28"/>
          <w:szCs w:val="28"/>
          <w:lang w:val="en-US" w:eastAsia="zh-CN" w:bidi="ar-SA"/>
        </w:rPr>
        <w:t>落实教育部教材形态多样化改革相关要求，研究职业教育数字教材开发标准、审核机制以及面向不同群体的推广使用模式。</w:t>
      </w:r>
    </w:p>
    <w:p w14:paraId="3D20DAB4">
      <w:pPr>
        <w:keepNext w:val="0"/>
        <w:keepLines w:val="0"/>
        <w:pageBreakBefore w:val="0"/>
        <w:widowControl/>
        <w:suppressLineNumbers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val="0"/>
        <w:snapToGrid w:val="0"/>
        <w:spacing w:line="460" w:lineRule="exact"/>
        <w:jc w:val="left"/>
        <w:textAlignment w:val="auto"/>
        <w:rPr>
          <w:rFonts w:hint="eastAsia" w:ascii="仿宋_GB2312" w:hAnsi="仿宋_GB2312" w:eastAsia="仿宋_GB2312" w:cs="仿宋_GB2312"/>
          <w:kern w:val="0"/>
          <w:sz w:val="28"/>
          <w:szCs w:val="28"/>
          <w:lang w:val="en-US" w:eastAsia="zh-CN" w:bidi="ar"/>
        </w:rPr>
      </w:pPr>
      <w:r>
        <w:rPr>
          <w:rFonts w:hint="eastAsia" w:ascii="仿宋_GB2312" w:hAnsi="仿宋_GB2312" w:eastAsia="仿宋_GB2312" w:cs="仿宋_GB2312"/>
          <w:kern w:val="2"/>
          <w:sz w:val="28"/>
          <w:szCs w:val="28"/>
          <w:lang w:val="en-US" w:eastAsia="zh-CN" w:bidi="ar-SA"/>
        </w:rPr>
        <w:t>36. 职业院校教师数字素养提升路径与保障机制研究</w:t>
      </w:r>
    </w:p>
    <w:p w14:paraId="638A2583">
      <w:pPr>
        <w:keepNext w:val="0"/>
        <w:keepLines w:val="0"/>
        <w:pageBreakBefore w:val="0"/>
        <w:widowControl/>
        <w:suppressLineNumbers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val="0"/>
        <w:snapToGrid w:val="0"/>
        <w:spacing w:line="460" w:lineRule="exact"/>
        <w:ind w:firstLine="560" w:firstLineChars="200"/>
        <w:jc w:val="left"/>
        <w:textAlignment w:val="auto"/>
        <w:rPr>
          <w:rFonts w:hint="eastAsia" w:ascii="仿宋_GB2312" w:hAnsi="仿宋_GB2312" w:eastAsia="仿宋_GB2312" w:cs="仿宋_GB2312"/>
          <w:kern w:val="0"/>
          <w:sz w:val="28"/>
          <w:szCs w:val="28"/>
          <w:lang w:val="en-US" w:eastAsia="zh-CN" w:bidi="ar"/>
        </w:rPr>
      </w:pPr>
      <w:r>
        <w:rPr>
          <w:rFonts w:hint="eastAsia" w:ascii="仿宋_GB2312" w:hAnsi="仿宋_GB2312" w:eastAsia="仿宋_GB2312" w:cs="仿宋_GB2312"/>
          <w:kern w:val="2"/>
          <w:sz w:val="28"/>
          <w:szCs w:val="28"/>
          <w:lang w:val="en-US" w:eastAsia="zh-CN" w:bidi="ar-SA"/>
        </w:rPr>
        <w:t>立足职业院校教师数字素养现实状况，研究教师数字教学、数字资源开发、数字化治理等能力提升路径，剖析现有培训体系、激励机制存在的短板，构建适配职业教育场景的教师数字素养培育方案，助力职业教育数字化转型。</w:t>
      </w:r>
    </w:p>
    <w:p w14:paraId="7D025FC7">
      <w:pPr>
        <w:keepNext w:val="0"/>
        <w:keepLines w:val="0"/>
        <w:pageBreakBefore w:val="0"/>
        <w:widowControl/>
        <w:suppressLineNumbers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val="0"/>
        <w:snapToGrid w:val="0"/>
        <w:spacing w:line="460" w:lineRule="exact"/>
        <w:jc w:val="left"/>
        <w:textAlignment w:val="auto"/>
        <w:rPr>
          <w:rFonts w:hint="eastAsia" w:ascii="仿宋_GB2312" w:hAnsi="仿宋_GB2312" w:eastAsia="仿宋_GB2312" w:cs="仿宋_GB2312"/>
          <w:kern w:val="0"/>
          <w:sz w:val="28"/>
          <w:szCs w:val="28"/>
          <w:lang w:val="en-US" w:eastAsia="zh-CN" w:bidi="ar"/>
        </w:rPr>
      </w:pPr>
      <w:r>
        <w:rPr>
          <w:rFonts w:hint="eastAsia" w:ascii="仿宋_GB2312" w:hAnsi="仿宋_GB2312" w:eastAsia="仿宋_GB2312" w:cs="仿宋_GB2312"/>
          <w:kern w:val="2"/>
          <w:sz w:val="28"/>
          <w:szCs w:val="28"/>
          <w:lang w:val="en-US" w:eastAsia="zh-CN" w:bidi="ar-SA"/>
        </w:rPr>
        <w:t>37. AI教学应用的边界、伦理规范与师生权责研究</w:t>
      </w:r>
    </w:p>
    <w:p w14:paraId="7C28F51D">
      <w:pPr>
        <w:keepNext w:val="0"/>
        <w:keepLines w:val="0"/>
        <w:pageBreakBefore w:val="0"/>
        <w:widowControl/>
        <w:suppressLineNumbers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val="0"/>
        <w:snapToGrid w:val="0"/>
        <w:spacing w:line="460" w:lineRule="exact"/>
        <w:ind w:firstLine="560" w:firstLineChars="200"/>
        <w:jc w:val="left"/>
        <w:textAlignment w:val="auto"/>
        <w:rPr>
          <w:rFonts w:hint="eastAsia" w:ascii="仿宋_GB2312" w:hAnsi="仿宋_GB2312" w:eastAsia="仿宋_GB2312" w:cs="仿宋_GB2312"/>
          <w:kern w:val="0"/>
          <w:sz w:val="28"/>
          <w:szCs w:val="28"/>
          <w:lang w:val="en-US" w:eastAsia="zh-CN" w:bidi="ar"/>
        </w:rPr>
      </w:pPr>
      <w:r>
        <w:rPr>
          <w:rFonts w:hint="eastAsia" w:ascii="仿宋_GB2312" w:hAnsi="仿宋_GB2312" w:eastAsia="仿宋_GB2312" w:cs="仿宋_GB2312"/>
          <w:kern w:val="2"/>
          <w:sz w:val="28"/>
          <w:szCs w:val="28"/>
          <w:lang w:val="en-US" w:eastAsia="zh-CN" w:bidi="ar-SA"/>
        </w:rPr>
        <w:t>结合职业教育课堂教学场景，厘清人工智能教学应用边界，研究伦理规范，明确师生权责关系，构建风险防控与应用规范，推动人工智能合规赋能课堂教学。</w:t>
      </w:r>
    </w:p>
    <w:p w14:paraId="119F04C7">
      <w:pPr>
        <w:keepNext w:val="0"/>
        <w:keepLines w:val="0"/>
        <w:pageBreakBefore w:val="0"/>
        <w:widowControl/>
        <w:suppressLineNumbers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val="0"/>
        <w:snapToGrid w:val="0"/>
        <w:spacing w:line="460" w:lineRule="exact"/>
        <w:jc w:val="left"/>
        <w:textAlignment w:val="auto"/>
        <w:rPr>
          <w:rFonts w:hint="eastAsia" w:ascii="仿宋_GB2312" w:hAnsi="仿宋_GB2312" w:eastAsia="仿宋_GB2312" w:cs="仿宋_GB2312"/>
          <w:kern w:val="0"/>
          <w:sz w:val="28"/>
          <w:szCs w:val="28"/>
          <w:lang w:val="en-US" w:eastAsia="zh-CN" w:bidi="ar"/>
        </w:rPr>
      </w:pPr>
      <w:r>
        <w:rPr>
          <w:rFonts w:hint="eastAsia" w:ascii="仿宋_GB2312" w:hAnsi="仿宋_GB2312" w:eastAsia="仿宋_GB2312" w:cs="仿宋_GB2312"/>
          <w:kern w:val="2"/>
          <w:sz w:val="28"/>
          <w:szCs w:val="28"/>
          <w:lang w:val="en-US" w:eastAsia="zh-CN" w:bidi="ar-SA"/>
        </w:rPr>
        <w:t>38. 人工智能赋能职业院校专业（群）内涵建设的路径与机制研究</w:t>
      </w:r>
    </w:p>
    <w:p w14:paraId="3F9E0DE8">
      <w:pPr>
        <w:keepNext w:val="0"/>
        <w:keepLines w:val="0"/>
        <w:pageBreakBefore w:val="0"/>
        <w:widowControl/>
        <w:suppressLineNumbers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val="0"/>
        <w:snapToGrid w:val="0"/>
        <w:spacing w:line="460" w:lineRule="exact"/>
        <w:ind w:firstLine="560" w:firstLineChars="200"/>
        <w:jc w:val="left"/>
        <w:textAlignment w:val="auto"/>
        <w:rPr>
          <w:rFonts w:hint="eastAsia" w:ascii="仿宋_GB2312" w:hAnsi="仿宋_GB2312" w:eastAsia="仿宋_GB2312" w:cs="仿宋_GB2312"/>
          <w:kern w:val="0"/>
          <w:sz w:val="28"/>
          <w:szCs w:val="28"/>
          <w:lang w:val="en-US" w:eastAsia="zh-CN" w:bidi="ar"/>
        </w:rPr>
      </w:pPr>
      <w:r>
        <w:rPr>
          <w:rFonts w:hint="eastAsia" w:ascii="仿宋_GB2312" w:hAnsi="仿宋_GB2312" w:eastAsia="仿宋_GB2312" w:cs="仿宋_GB2312"/>
          <w:kern w:val="2"/>
          <w:sz w:val="28"/>
          <w:szCs w:val="28"/>
          <w:lang w:val="en-US" w:eastAsia="zh-CN" w:bidi="ar-SA"/>
        </w:rPr>
        <w:t>立足人工智能赋能教育变革时代背景，聚焦职业院校专业（群）内涵提质建设，探究人工智能融入专业建设的实施路径与运行机制，破解专业建设同质化、数字化赋能浅层化等现实问题，为新时代职业教育专业群高质量建设提供参考。</w:t>
      </w:r>
    </w:p>
    <w:p w14:paraId="58C461C8">
      <w:pPr>
        <w:keepNext w:val="0"/>
        <w:keepLines w:val="0"/>
        <w:pageBreakBefore w:val="0"/>
        <w:widowControl/>
        <w:suppressLineNumbers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val="0"/>
        <w:snapToGrid w:val="0"/>
        <w:spacing w:line="460" w:lineRule="exact"/>
        <w:jc w:val="left"/>
        <w:textAlignment w:val="auto"/>
        <w:rPr>
          <w:rFonts w:hint="eastAsia" w:ascii="仿宋_GB2312" w:hAnsi="仿宋_GB2312" w:eastAsia="仿宋_GB2312" w:cs="仿宋_GB2312"/>
          <w:kern w:val="0"/>
          <w:sz w:val="28"/>
          <w:szCs w:val="28"/>
          <w:lang w:val="en-US" w:eastAsia="zh-CN" w:bidi="ar"/>
        </w:rPr>
      </w:pPr>
    </w:p>
    <w:p w14:paraId="59E92E9B">
      <w:pPr>
        <w:keepNext w:val="0"/>
        <w:keepLines w:val="0"/>
        <w:pageBreakBefore w:val="0"/>
        <w:widowControl/>
        <w:suppressLineNumbers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val="0"/>
        <w:snapToGrid w:val="0"/>
        <w:spacing w:line="460" w:lineRule="exact"/>
        <w:jc w:val="left"/>
        <w:textAlignment w:val="auto"/>
        <w:rPr>
          <w:rFonts w:hint="eastAsia" w:ascii="仿宋_GB2312" w:hAnsi="仿宋_GB2312" w:eastAsia="仿宋_GB2312" w:cs="仿宋_GB2312"/>
          <w:b/>
          <w:bCs/>
          <w:kern w:val="0"/>
          <w:sz w:val="28"/>
          <w:szCs w:val="28"/>
          <w:lang w:val="en-US" w:eastAsia="zh-CN" w:bidi="ar"/>
        </w:rPr>
      </w:pPr>
      <w:r>
        <w:rPr>
          <w:rFonts w:hint="eastAsia" w:ascii="仿宋_GB2312" w:hAnsi="仿宋_GB2312" w:eastAsia="仿宋_GB2312" w:cs="仿宋_GB2312"/>
          <w:b/>
          <w:bCs/>
          <w:kern w:val="2"/>
          <w:sz w:val="28"/>
          <w:szCs w:val="28"/>
          <w:lang w:val="en-US" w:eastAsia="zh-CN" w:bidi="ar-SA"/>
        </w:rPr>
        <w:t>方向八：职业教育国际化与“中文+职业技能”</w:t>
      </w:r>
    </w:p>
    <w:p w14:paraId="60AA4AB6">
      <w:pPr>
        <w:keepNext w:val="0"/>
        <w:keepLines w:val="0"/>
        <w:pageBreakBefore w:val="0"/>
        <w:widowControl/>
        <w:suppressLineNumbers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val="0"/>
        <w:snapToGrid w:val="0"/>
        <w:spacing w:line="460" w:lineRule="exact"/>
        <w:jc w:val="left"/>
        <w:textAlignment w:val="auto"/>
        <w:rPr>
          <w:rFonts w:hint="eastAsia" w:ascii="仿宋_GB2312" w:hAnsi="仿宋_GB2312" w:eastAsia="仿宋_GB2312" w:cs="仿宋_GB2312"/>
          <w:kern w:val="0"/>
          <w:sz w:val="28"/>
          <w:szCs w:val="28"/>
          <w:lang w:val="en-US" w:eastAsia="zh-CN" w:bidi="ar"/>
        </w:rPr>
      </w:pPr>
      <w:r>
        <w:rPr>
          <w:rFonts w:hint="eastAsia" w:ascii="仿宋_GB2312" w:hAnsi="仿宋_GB2312" w:eastAsia="仿宋_GB2312" w:cs="仿宋_GB2312"/>
          <w:kern w:val="2"/>
          <w:sz w:val="28"/>
          <w:szCs w:val="28"/>
          <w:lang w:val="en-US" w:eastAsia="zh-CN" w:bidi="ar-SA"/>
        </w:rPr>
        <w:t>39. “一带一路”背景下职业教育“中文+职业技能”培养模式创新研究</w:t>
      </w:r>
    </w:p>
    <w:p w14:paraId="26065825">
      <w:pPr>
        <w:keepNext w:val="0"/>
        <w:keepLines w:val="0"/>
        <w:pageBreakBefore w:val="0"/>
        <w:widowControl/>
        <w:suppressLineNumbers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val="0"/>
        <w:snapToGrid w:val="0"/>
        <w:spacing w:line="460" w:lineRule="exact"/>
        <w:ind w:firstLine="560" w:firstLineChars="200"/>
        <w:jc w:val="left"/>
        <w:textAlignment w:val="auto"/>
        <w:rPr>
          <w:rFonts w:hint="eastAsia" w:ascii="仿宋_GB2312" w:hAnsi="仿宋_GB2312" w:eastAsia="仿宋_GB2312" w:cs="仿宋_GB2312"/>
          <w:kern w:val="0"/>
          <w:sz w:val="28"/>
          <w:szCs w:val="28"/>
          <w:lang w:val="en-US" w:eastAsia="zh-CN" w:bidi="ar"/>
        </w:rPr>
      </w:pPr>
      <w:r>
        <w:rPr>
          <w:rFonts w:hint="eastAsia" w:ascii="仿宋_GB2312" w:hAnsi="仿宋_GB2312" w:eastAsia="仿宋_GB2312" w:cs="仿宋_GB2312"/>
          <w:kern w:val="2"/>
          <w:sz w:val="28"/>
          <w:szCs w:val="28"/>
          <w:lang w:val="en-US" w:eastAsia="zh-CN" w:bidi="ar-SA"/>
        </w:rPr>
        <w:t>选取湖南省部分职业院校作为案例，研究职业教育服务省内企业“走出去”的模式创新路径。</w:t>
      </w:r>
    </w:p>
    <w:p w14:paraId="4C0CFB85">
      <w:pPr>
        <w:keepNext w:val="0"/>
        <w:keepLines w:val="0"/>
        <w:pageBreakBefore w:val="0"/>
        <w:widowControl/>
        <w:suppressLineNumbers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val="0"/>
        <w:snapToGrid w:val="0"/>
        <w:spacing w:line="460" w:lineRule="exact"/>
        <w:jc w:val="left"/>
        <w:textAlignment w:val="auto"/>
        <w:rPr>
          <w:rFonts w:hint="eastAsia" w:ascii="仿宋_GB2312" w:hAnsi="仿宋_GB2312" w:eastAsia="仿宋_GB2312" w:cs="仿宋_GB2312"/>
          <w:kern w:val="0"/>
          <w:sz w:val="28"/>
          <w:szCs w:val="28"/>
          <w:lang w:val="en-US" w:eastAsia="zh-CN" w:bidi="ar"/>
        </w:rPr>
      </w:pPr>
      <w:r>
        <w:rPr>
          <w:rFonts w:hint="eastAsia" w:ascii="仿宋_GB2312" w:hAnsi="仿宋_GB2312" w:eastAsia="仿宋_GB2312" w:cs="仿宋_GB2312"/>
          <w:kern w:val="2"/>
          <w:sz w:val="28"/>
          <w:szCs w:val="28"/>
          <w:lang w:val="en-US" w:eastAsia="zh-CN" w:bidi="ar-SA"/>
        </w:rPr>
        <w:t>40. AI同声传译技术赋能职业教育国际培训的路径与效果研究——基于湖南省职业院校实践</w:t>
      </w:r>
    </w:p>
    <w:p w14:paraId="6350FA8F">
      <w:pPr>
        <w:keepNext w:val="0"/>
        <w:keepLines w:val="0"/>
        <w:pageBreakBefore w:val="0"/>
        <w:widowControl/>
        <w:suppressLineNumbers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val="0"/>
        <w:snapToGrid w:val="0"/>
        <w:spacing w:line="460" w:lineRule="exact"/>
        <w:ind w:firstLine="560" w:firstLineChars="200"/>
        <w:jc w:val="left"/>
        <w:textAlignment w:val="auto"/>
        <w:rPr>
          <w:rFonts w:hint="eastAsia" w:ascii="仿宋_GB2312" w:hAnsi="仿宋_GB2312" w:eastAsia="仿宋_GB2312" w:cs="仿宋_GB2312"/>
          <w:kern w:val="0"/>
          <w:sz w:val="28"/>
          <w:szCs w:val="28"/>
          <w:lang w:val="en-US" w:eastAsia="zh-CN" w:bidi="ar"/>
        </w:rPr>
      </w:pPr>
      <w:r>
        <w:rPr>
          <w:rFonts w:hint="eastAsia" w:ascii="仿宋_GB2312" w:hAnsi="仿宋_GB2312" w:eastAsia="仿宋_GB2312" w:cs="仿宋_GB2312"/>
          <w:kern w:val="2"/>
          <w:sz w:val="28"/>
          <w:szCs w:val="28"/>
          <w:lang w:val="en-US" w:eastAsia="zh-CN" w:bidi="ar-SA"/>
        </w:rPr>
        <w:t>以“丝路同声”AI国际课堂平台为研究对象，研究人工智能技术破解职业教育国际化语言壁垒的实现路径，构建可复制推广的“中文+职业技能”数字化培养方案。</w:t>
      </w:r>
    </w:p>
    <w:p w14:paraId="4EBA8E60">
      <w:pPr>
        <w:keepNext w:val="0"/>
        <w:keepLines w:val="0"/>
        <w:pageBreakBefore w:val="0"/>
        <w:widowControl/>
        <w:suppressLineNumbers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val="0"/>
        <w:snapToGrid w:val="0"/>
        <w:spacing w:line="460" w:lineRule="exact"/>
        <w:jc w:val="left"/>
        <w:textAlignment w:val="auto"/>
        <w:rPr>
          <w:rFonts w:hint="eastAsia" w:ascii="仿宋_GB2312" w:hAnsi="仿宋_GB2312" w:eastAsia="仿宋_GB2312" w:cs="仿宋_GB2312"/>
          <w:kern w:val="0"/>
          <w:sz w:val="28"/>
          <w:szCs w:val="28"/>
          <w:lang w:val="en-US" w:eastAsia="zh-CN" w:bidi="ar"/>
        </w:rPr>
      </w:pPr>
      <w:r>
        <w:rPr>
          <w:rFonts w:hint="eastAsia" w:ascii="仿宋_GB2312" w:hAnsi="仿宋_GB2312" w:eastAsia="仿宋_GB2312" w:cs="仿宋_GB2312"/>
          <w:kern w:val="2"/>
          <w:sz w:val="28"/>
          <w:szCs w:val="28"/>
          <w:lang w:val="en-US" w:eastAsia="zh-CN" w:bidi="ar-SA"/>
        </w:rPr>
        <w:t>41. 职业教育国际化的标准输出与本土化适应研究</w:t>
      </w:r>
    </w:p>
    <w:p w14:paraId="1FA0458D">
      <w:pPr>
        <w:keepNext w:val="0"/>
        <w:keepLines w:val="0"/>
        <w:pageBreakBefore w:val="0"/>
        <w:widowControl/>
        <w:suppressLineNumbers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val="0"/>
        <w:snapToGrid w:val="0"/>
        <w:spacing w:line="460" w:lineRule="exact"/>
        <w:ind w:firstLine="560" w:firstLineChars="200"/>
        <w:jc w:val="left"/>
        <w:textAlignment w:val="auto"/>
        <w:rPr>
          <w:rFonts w:hint="eastAsia" w:ascii="仿宋_GB2312" w:hAnsi="仿宋_GB2312" w:eastAsia="仿宋_GB2312" w:cs="仿宋_GB2312"/>
          <w:kern w:val="0"/>
          <w:sz w:val="28"/>
          <w:szCs w:val="28"/>
          <w:lang w:val="en-US" w:eastAsia="zh-CN" w:bidi="ar"/>
        </w:rPr>
      </w:pPr>
      <w:r>
        <w:rPr>
          <w:rFonts w:hint="eastAsia" w:ascii="仿宋_GB2312" w:hAnsi="仿宋_GB2312" w:eastAsia="仿宋_GB2312" w:cs="仿宋_GB2312"/>
          <w:kern w:val="2"/>
          <w:sz w:val="28"/>
          <w:szCs w:val="28"/>
          <w:lang w:val="en-US" w:eastAsia="zh-CN" w:bidi="ar-SA"/>
        </w:rPr>
        <w:t>研究湖南职业教育面向“一带一路”沿线国家开展培训过程中，实现中国职业教育标准与当地发展需求适配转化的方法路径。</w:t>
      </w:r>
    </w:p>
    <w:p w14:paraId="1D4DCFFC">
      <w:pPr>
        <w:keepNext w:val="0"/>
        <w:keepLines w:val="0"/>
        <w:pageBreakBefore w:val="0"/>
        <w:widowControl/>
        <w:suppressLineNumbers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val="0"/>
        <w:snapToGrid w:val="0"/>
        <w:spacing w:line="460" w:lineRule="exact"/>
        <w:jc w:val="left"/>
        <w:textAlignment w:val="auto"/>
        <w:rPr>
          <w:rFonts w:hint="eastAsia" w:ascii="仿宋_GB2312" w:hAnsi="仿宋_GB2312" w:eastAsia="仿宋_GB2312" w:cs="仿宋_GB2312"/>
          <w:kern w:val="0"/>
          <w:sz w:val="28"/>
          <w:szCs w:val="28"/>
          <w:lang w:val="en-US" w:eastAsia="zh-CN" w:bidi="ar"/>
        </w:rPr>
      </w:pPr>
    </w:p>
    <w:p w14:paraId="7486584D">
      <w:pPr>
        <w:keepNext w:val="0"/>
        <w:keepLines w:val="0"/>
        <w:pageBreakBefore w:val="0"/>
        <w:widowControl/>
        <w:suppressLineNumbers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val="0"/>
        <w:snapToGrid w:val="0"/>
        <w:spacing w:line="460" w:lineRule="exact"/>
        <w:jc w:val="left"/>
        <w:textAlignment w:val="auto"/>
        <w:rPr>
          <w:rFonts w:hint="eastAsia" w:ascii="仿宋_GB2312" w:hAnsi="仿宋_GB2312" w:eastAsia="仿宋_GB2312" w:cs="仿宋_GB2312"/>
          <w:b/>
          <w:bCs/>
          <w:kern w:val="0"/>
          <w:sz w:val="28"/>
          <w:szCs w:val="28"/>
          <w:lang w:val="en-US" w:eastAsia="zh-CN" w:bidi="ar"/>
        </w:rPr>
      </w:pPr>
      <w:r>
        <w:rPr>
          <w:rFonts w:hint="eastAsia" w:ascii="仿宋_GB2312" w:hAnsi="仿宋_GB2312" w:eastAsia="仿宋_GB2312" w:cs="仿宋_GB2312"/>
          <w:b/>
          <w:bCs/>
          <w:kern w:val="2"/>
          <w:sz w:val="28"/>
          <w:szCs w:val="28"/>
          <w:lang w:val="en-US" w:eastAsia="zh-CN" w:bidi="ar-SA"/>
        </w:rPr>
        <w:t>方向九：数字赋能终身学习型社会与职业教育新发展</w:t>
      </w:r>
    </w:p>
    <w:p w14:paraId="52A9057C">
      <w:pPr>
        <w:keepNext w:val="0"/>
        <w:keepLines w:val="0"/>
        <w:pageBreakBefore w:val="0"/>
        <w:widowControl/>
        <w:suppressLineNumbers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val="0"/>
        <w:snapToGrid w:val="0"/>
        <w:spacing w:line="460" w:lineRule="exact"/>
        <w:jc w:val="left"/>
        <w:textAlignment w:val="auto"/>
        <w:rPr>
          <w:rFonts w:hint="eastAsia" w:ascii="仿宋_GB2312" w:hAnsi="仿宋_GB2312" w:eastAsia="仿宋_GB2312" w:cs="仿宋_GB2312"/>
          <w:kern w:val="0"/>
          <w:sz w:val="28"/>
          <w:szCs w:val="28"/>
          <w:lang w:val="en-US" w:eastAsia="zh-CN" w:bidi="ar"/>
        </w:rPr>
      </w:pPr>
      <w:r>
        <w:rPr>
          <w:rFonts w:hint="eastAsia" w:ascii="仿宋_GB2312" w:hAnsi="仿宋_GB2312" w:eastAsia="仿宋_GB2312" w:cs="仿宋_GB2312"/>
          <w:kern w:val="2"/>
          <w:sz w:val="28"/>
          <w:szCs w:val="28"/>
          <w:lang w:val="en-US" w:eastAsia="zh-CN" w:bidi="ar-SA"/>
        </w:rPr>
        <w:t>42. 数字赋能终身学习型社会建设的湖南路径与制度创新研究</w:t>
      </w:r>
    </w:p>
    <w:p w14:paraId="0AE4A1C2">
      <w:pPr>
        <w:keepNext w:val="0"/>
        <w:keepLines w:val="0"/>
        <w:pageBreakBefore w:val="0"/>
        <w:widowControl/>
        <w:suppressLineNumbers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val="0"/>
        <w:snapToGrid w:val="0"/>
        <w:spacing w:line="460" w:lineRule="exact"/>
        <w:ind w:firstLine="560" w:firstLineChars="200"/>
        <w:jc w:val="left"/>
        <w:textAlignment w:val="auto"/>
        <w:rPr>
          <w:rFonts w:hint="eastAsia" w:ascii="仿宋_GB2312" w:hAnsi="仿宋_GB2312" w:eastAsia="仿宋_GB2312" w:cs="仿宋_GB2312"/>
          <w:kern w:val="0"/>
          <w:sz w:val="28"/>
          <w:szCs w:val="28"/>
          <w:lang w:val="en-US" w:eastAsia="zh-CN" w:bidi="ar"/>
        </w:rPr>
      </w:pPr>
      <w:r>
        <w:rPr>
          <w:rFonts w:hint="eastAsia" w:ascii="仿宋_GB2312" w:hAnsi="仿宋_GB2312" w:eastAsia="仿宋_GB2312" w:cs="仿宋_GB2312"/>
          <w:kern w:val="2"/>
          <w:sz w:val="28"/>
          <w:szCs w:val="28"/>
          <w:lang w:val="en-US" w:eastAsia="zh-CN" w:bidi="ar-SA"/>
        </w:rPr>
        <w:t>依托终身教育平台建设实践，研究数字化手段扩大优质继续教育资源覆盖范围、服务学习型社会建设的湖南路径与制度创新举措。</w:t>
      </w:r>
    </w:p>
    <w:p w14:paraId="1CD8E19F">
      <w:pPr>
        <w:keepNext w:val="0"/>
        <w:keepLines w:val="0"/>
        <w:pageBreakBefore w:val="0"/>
        <w:widowControl/>
        <w:suppressLineNumbers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val="0"/>
        <w:snapToGrid w:val="0"/>
        <w:spacing w:line="460" w:lineRule="exact"/>
        <w:jc w:val="left"/>
        <w:textAlignment w:val="auto"/>
        <w:rPr>
          <w:rFonts w:hint="eastAsia" w:ascii="仿宋_GB2312" w:hAnsi="仿宋_GB2312" w:eastAsia="仿宋_GB2312" w:cs="仿宋_GB2312"/>
          <w:kern w:val="0"/>
          <w:sz w:val="28"/>
          <w:szCs w:val="28"/>
          <w:lang w:val="en-US" w:eastAsia="zh-CN" w:bidi="ar"/>
        </w:rPr>
      </w:pPr>
      <w:r>
        <w:rPr>
          <w:rFonts w:hint="eastAsia" w:ascii="仿宋_GB2312" w:hAnsi="仿宋_GB2312" w:eastAsia="仿宋_GB2312" w:cs="仿宋_GB2312"/>
          <w:kern w:val="2"/>
          <w:sz w:val="28"/>
          <w:szCs w:val="28"/>
          <w:lang w:val="en-US" w:eastAsia="zh-CN" w:bidi="ar-SA"/>
        </w:rPr>
        <w:t>43. 职业教育服务技能型社会建设的机制与效果研究——基于湖南省“湖湘工匠”培育实践</w:t>
      </w:r>
    </w:p>
    <w:p w14:paraId="0462F873">
      <w:pPr>
        <w:keepNext w:val="0"/>
        <w:keepLines w:val="0"/>
        <w:pageBreakBefore w:val="0"/>
        <w:widowControl/>
        <w:suppressLineNumbers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val="0"/>
        <w:snapToGrid w:val="0"/>
        <w:spacing w:line="460" w:lineRule="exact"/>
        <w:ind w:firstLine="560" w:firstLineChars="200"/>
        <w:jc w:val="left"/>
        <w:textAlignment w:val="auto"/>
        <w:rPr>
          <w:rFonts w:hint="eastAsia" w:ascii="仿宋_GB2312" w:hAnsi="仿宋_GB2312" w:eastAsia="仿宋_GB2312" w:cs="仿宋_GB2312"/>
          <w:kern w:val="0"/>
          <w:sz w:val="28"/>
          <w:szCs w:val="28"/>
          <w:lang w:val="en-US" w:eastAsia="zh-CN" w:bidi="ar"/>
        </w:rPr>
      </w:pPr>
      <w:r>
        <w:rPr>
          <w:rFonts w:hint="eastAsia" w:ascii="仿宋_GB2312" w:hAnsi="仿宋_GB2312" w:eastAsia="仿宋_GB2312" w:cs="仿宋_GB2312"/>
          <w:kern w:val="2"/>
          <w:sz w:val="28"/>
          <w:szCs w:val="28"/>
          <w:lang w:val="en-US" w:eastAsia="zh-CN" w:bidi="ar-SA"/>
        </w:rPr>
        <w:t>研究职业教育在技能型社会建设中的功能定位、作用机制与成效评价方式，挖掘“湖湘工匠”品牌培育经验，研究其可推广实践价值。</w:t>
      </w:r>
    </w:p>
    <w:p w14:paraId="5A3477DE">
      <w:pPr>
        <w:keepNext w:val="0"/>
        <w:keepLines w:val="0"/>
        <w:pageBreakBefore w:val="0"/>
        <w:widowControl/>
        <w:suppressLineNumbers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val="0"/>
        <w:snapToGrid w:val="0"/>
        <w:spacing w:line="460" w:lineRule="exact"/>
        <w:jc w:val="left"/>
        <w:textAlignment w:val="auto"/>
        <w:rPr>
          <w:rFonts w:hint="eastAsia" w:ascii="仿宋_GB2312" w:hAnsi="仿宋_GB2312" w:eastAsia="仿宋_GB2312" w:cs="仿宋_GB2312"/>
          <w:kern w:val="0"/>
          <w:sz w:val="28"/>
          <w:szCs w:val="28"/>
          <w:lang w:val="en-US" w:eastAsia="zh-CN" w:bidi="ar"/>
        </w:rPr>
      </w:pPr>
      <w:r>
        <w:rPr>
          <w:rFonts w:hint="eastAsia" w:ascii="仿宋_GB2312" w:hAnsi="仿宋_GB2312" w:eastAsia="仿宋_GB2312" w:cs="仿宋_GB2312"/>
          <w:kern w:val="2"/>
          <w:sz w:val="28"/>
          <w:szCs w:val="28"/>
          <w:lang w:val="en-US" w:eastAsia="zh-CN" w:bidi="ar-SA"/>
        </w:rPr>
        <w:t>44. 职业院校服务乡村振兴与县域经济发展的路径研究——以湖南省为例</w:t>
      </w:r>
    </w:p>
    <w:p w14:paraId="4B09D300">
      <w:pPr>
        <w:keepNext w:val="0"/>
        <w:keepLines w:val="0"/>
        <w:pageBreakBefore w:val="0"/>
        <w:widowControl/>
        <w:suppressLineNumbers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val="0"/>
        <w:snapToGrid w:val="0"/>
        <w:spacing w:line="460" w:lineRule="exact"/>
        <w:ind w:firstLine="560" w:firstLineChars="200"/>
        <w:jc w:val="left"/>
        <w:textAlignment w:val="auto"/>
        <w:rPr>
          <w:rFonts w:hint="eastAsia" w:ascii="仿宋_GB2312" w:hAnsi="仿宋_GB2312" w:eastAsia="仿宋_GB2312" w:cs="仿宋_GB2312"/>
          <w:kern w:val="0"/>
          <w:sz w:val="28"/>
          <w:szCs w:val="28"/>
          <w:lang w:val="en-US" w:eastAsia="zh-CN" w:bidi="ar"/>
        </w:rPr>
      </w:pPr>
      <w:r>
        <w:rPr>
          <w:rFonts w:hint="eastAsia" w:ascii="仿宋_GB2312" w:hAnsi="仿宋_GB2312" w:eastAsia="仿宋_GB2312" w:cs="仿宋_GB2312"/>
          <w:kern w:val="2"/>
          <w:sz w:val="28"/>
          <w:szCs w:val="28"/>
          <w:lang w:val="en-US" w:eastAsia="zh-CN" w:bidi="ar-SA"/>
        </w:rPr>
        <w:t>研究湖南省职业院校（含中职）对接县域特色产业、开展农村劳动力转移培训、助力乡村人才振兴的服务模式与政策支撑体系。</w:t>
      </w:r>
    </w:p>
    <w:p w14:paraId="42F3BD74">
      <w:pPr>
        <w:keepNext w:val="0"/>
        <w:keepLines w:val="0"/>
        <w:pageBreakBefore w:val="0"/>
        <w:widowControl/>
        <w:suppressLineNumbers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val="0"/>
        <w:snapToGrid w:val="0"/>
        <w:spacing w:line="460" w:lineRule="exact"/>
        <w:jc w:val="left"/>
        <w:textAlignment w:val="auto"/>
        <w:rPr>
          <w:rFonts w:hint="eastAsia" w:ascii="仿宋_GB2312" w:hAnsi="仿宋_GB2312" w:eastAsia="仿宋_GB2312" w:cs="仿宋_GB2312"/>
          <w:kern w:val="0"/>
          <w:sz w:val="28"/>
          <w:szCs w:val="28"/>
          <w:lang w:val="en-US" w:eastAsia="zh-CN" w:bidi="ar"/>
        </w:rPr>
      </w:pPr>
    </w:p>
    <w:p w14:paraId="22B7471E">
      <w:pPr>
        <w:keepNext w:val="0"/>
        <w:keepLines w:val="0"/>
        <w:pageBreakBefore w:val="0"/>
        <w:widowControl/>
        <w:suppressLineNumbers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val="0"/>
        <w:snapToGrid w:val="0"/>
        <w:spacing w:line="460" w:lineRule="exact"/>
        <w:jc w:val="left"/>
        <w:textAlignment w:val="auto"/>
        <w:rPr>
          <w:rFonts w:hint="eastAsia" w:ascii="仿宋_GB2312" w:hAnsi="仿宋_GB2312" w:eastAsia="仿宋_GB2312" w:cs="仿宋_GB2312"/>
          <w:kern w:val="0"/>
          <w:sz w:val="28"/>
          <w:szCs w:val="28"/>
          <w:lang w:val="en-US" w:eastAsia="zh-CN" w:bidi="ar"/>
        </w:rPr>
      </w:pPr>
      <w:r>
        <w:rPr>
          <w:rFonts w:hint="eastAsia" w:ascii="仿宋_GB2312" w:hAnsi="仿宋_GB2312" w:eastAsia="仿宋_GB2312" w:cs="仿宋_GB2312"/>
          <w:kern w:val="2"/>
          <w:sz w:val="28"/>
          <w:szCs w:val="28"/>
          <w:lang w:val="en-US" w:eastAsia="zh-CN" w:bidi="ar-SA"/>
        </w:rPr>
        <w:t>45. 面向“十五五”的湖南省职业教育高质量发展战略与政策创新研究</w:t>
      </w:r>
    </w:p>
    <w:p w14:paraId="2E66109A">
      <w:pPr>
        <w:keepNext w:val="0"/>
        <w:keepLines w:val="0"/>
        <w:pageBreakBefore w:val="0"/>
        <w:widowControl/>
        <w:suppressLineNumbers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val="0"/>
        <w:snapToGrid w:val="0"/>
        <w:spacing w:line="460" w:lineRule="exact"/>
        <w:ind w:firstLine="560" w:firstLineChars="200"/>
        <w:jc w:val="left"/>
        <w:textAlignment w:val="auto"/>
        <w:rPr>
          <w:rFonts w:hint="eastAsia" w:ascii="仿宋_GB2312" w:hAnsi="仿宋_GB2312" w:eastAsia="仿宋_GB2312" w:cs="仿宋_GB2312"/>
          <w:kern w:val="0"/>
          <w:sz w:val="28"/>
          <w:szCs w:val="28"/>
          <w:lang w:val="en-US" w:eastAsia="zh-CN" w:bidi="ar"/>
        </w:rPr>
      </w:pPr>
      <w:r>
        <w:rPr>
          <w:rFonts w:hint="eastAsia" w:ascii="仿宋_GB2312" w:hAnsi="仿宋_GB2312" w:eastAsia="仿宋_GB2312" w:cs="仿宋_GB2312"/>
          <w:kern w:val="2"/>
          <w:sz w:val="28"/>
          <w:szCs w:val="28"/>
          <w:lang w:val="en-US" w:eastAsia="zh-CN" w:bidi="ar-SA"/>
        </w:rPr>
        <w:t>前瞻性研判“十五五”时期湖南省职业教育面临的形势与挑战，提出职业教育高质量发展的战略方向、重点任务以及政策创新建议。</w:t>
      </w:r>
    </w:p>
    <w:p w14:paraId="587DB752">
      <w:pPr>
        <w:rPr>
          <w:rFonts w:hint="eastAsia" w:ascii="仿宋_GB2312" w:hAnsi="仿宋_GB2312" w:eastAsia="仿宋_GB2312" w:cs="仿宋_GB2312"/>
          <w:sz w:val="28"/>
          <w:szCs w:val="28"/>
        </w:rPr>
      </w:pPr>
    </w:p>
    <w:p w14:paraId="52D641C5">
      <w:pPr>
        <w:pStyle w:val="4"/>
        <w:spacing w:before="10"/>
        <w:rPr>
          <w:rFonts w:ascii="Times New Roman" w:hAnsi="Times New Roman" w:eastAsia="方正仿宋_GB2312" w:cs="Times New Roman"/>
          <w:sz w:val="32"/>
          <w:szCs w:val="32"/>
        </w:rPr>
      </w:pPr>
    </w:p>
    <w:p w14:paraId="7D1868E5">
      <w:pPr>
        <w:pStyle w:val="4"/>
        <w:spacing w:before="10"/>
        <w:rPr>
          <w:rFonts w:ascii="Times New Roman" w:hAnsi="Times New Roman" w:eastAsia="方正仿宋_GB2312" w:cs="Times New Roman"/>
          <w:sz w:val="32"/>
          <w:szCs w:val="32"/>
        </w:rPr>
      </w:pPr>
    </w:p>
    <w:p w14:paraId="36B80148">
      <w:pPr>
        <w:pStyle w:val="4"/>
        <w:spacing w:before="10"/>
        <w:rPr>
          <w:rFonts w:ascii="Times New Roman" w:hAnsi="Times New Roman" w:eastAsia="方正仿宋_GB2312" w:cs="Times New Roman"/>
          <w:sz w:val="32"/>
          <w:szCs w:val="32"/>
        </w:rPr>
      </w:pPr>
    </w:p>
    <w:p w14:paraId="716EB27E">
      <w:pPr>
        <w:pStyle w:val="4"/>
        <w:spacing w:before="10"/>
        <w:rPr>
          <w:rFonts w:ascii="Times New Roman" w:hAnsi="Times New Roman" w:eastAsia="方正仿宋_GB2312" w:cs="Times New Roman"/>
          <w:sz w:val="32"/>
          <w:szCs w:val="32"/>
        </w:rPr>
      </w:pPr>
    </w:p>
    <w:p w14:paraId="2EC94F61">
      <w:pPr>
        <w:pStyle w:val="4"/>
        <w:spacing w:before="10"/>
        <w:rPr>
          <w:rFonts w:ascii="Times New Roman" w:hAnsi="Times New Roman" w:eastAsia="方正仿宋_GB2312" w:cs="Times New Roman"/>
          <w:sz w:val="32"/>
          <w:szCs w:val="32"/>
        </w:rPr>
      </w:pPr>
    </w:p>
    <w:p w14:paraId="36DD3345">
      <w:pPr>
        <w:pStyle w:val="4"/>
        <w:spacing w:before="10"/>
        <w:rPr>
          <w:rFonts w:ascii="Times New Roman" w:hAnsi="Times New Roman" w:eastAsia="方正仿宋_GB2312" w:cs="Times New Roman"/>
          <w:sz w:val="32"/>
          <w:szCs w:val="32"/>
        </w:rPr>
      </w:pPr>
    </w:p>
    <w:tbl>
      <w:tblPr>
        <w:tblStyle w:val="11"/>
        <w:tblW w:w="0" w:type="auto"/>
        <w:tblInd w:w="155" w:type="dxa"/>
        <w:tblBorders>
          <w:top w:val="single" w:color="000000" w:sz="18" w:space="0"/>
          <w:left w:val="single" w:color="000000" w:sz="18" w:space="0"/>
          <w:bottom w:val="single" w:color="000000" w:sz="18" w:space="0"/>
          <w:right w:val="single" w:color="000000" w:sz="18" w:space="0"/>
          <w:insideH w:val="single" w:color="000000" w:sz="18" w:space="0"/>
          <w:insideV w:val="single" w:color="000000" w:sz="18" w:space="0"/>
        </w:tblBorders>
        <w:tblLayout w:type="fixed"/>
        <w:tblCellMar>
          <w:top w:w="0" w:type="dxa"/>
          <w:left w:w="0" w:type="dxa"/>
          <w:bottom w:w="0" w:type="dxa"/>
          <w:right w:w="0" w:type="dxa"/>
        </w:tblCellMar>
      </w:tblPr>
      <w:tblGrid>
        <w:gridCol w:w="987"/>
        <w:gridCol w:w="3252"/>
      </w:tblGrid>
      <w:tr w14:paraId="65F18434">
        <w:trPr>
          <w:trHeight w:val="689" w:hRule="atLeast"/>
        </w:trPr>
        <w:tc>
          <w:tcPr>
            <w:tcW w:w="987" w:type="dxa"/>
            <w:tcBorders>
              <w:bottom w:val="single" w:color="000000" w:sz="6" w:space="0"/>
              <w:right w:val="single" w:color="000000" w:sz="6" w:space="0"/>
            </w:tcBorders>
            <w:vAlign w:val="center"/>
          </w:tcPr>
          <w:p w14:paraId="22C6AD86">
            <w:pPr>
              <w:pStyle w:val="21"/>
              <w:spacing w:before="96"/>
              <w:ind w:left="107"/>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年度</w:t>
            </w:r>
          </w:p>
        </w:tc>
        <w:tc>
          <w:tcPr>
            <w:tcW w:w="3252" w:type="dxa"/>
            <w:tcBorders>
              <w:left w:val="single" w:color="000000" w:sz="6" w:space="0"/>
              <w:bottom w:val="single" w:color="000000" w:sz="6" w:space="0"/>
            </w:tcBorders>
          </w:tcPr>
          <w:p w14:paraId="3AFBB8E9">
            <w:pPr>
              <w:pStyle w:val="21"/>
              <w:rPr>
                <w:rFonts w:hint="eastAsia" w:ascii="仿宋_GB2312" w:hAnsi="仿宋_GB2312" w:eastAsia="仿宋_GB2312" w:cs="仿宋_GB2312"/>
                <w:sz w:val="32"/>
                <w:szCs w:val="32"/>
              </w:rPr>
            </w:pPr>
          </w:p>
        </w:tc>
      </w:tr>
      <w:tr w14:paraId="33C4A867">
        <w:trPr>
          <w:trHeight w:val="731" w:hRule="atLeast"/>
        </w:trPr>
        <w:tc>
          <w:tcPr>
            <w:tcW w:w="987" w:type="dxa"/>
            <w:tcBorders>
              <w:top w:val="single" w:color="000000" w:sz="6" w:space="0"/>
              <w:right w:val="single" w:color="000000" w:sz="6" w:space="0"/>
            </w:tcBorders>
            <w:vAlign w:val="center"/>
          </w:tcPr>
          <w:p w14:paraId="7D69BC9E">
            <w:pPr>
              <w:pStyle w:val="21"/>
              <w:spacing w:before="97"/>
              <w:ind w:left="107"/>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编号</w:t>
            </w:r>
          </w:p>
        </w:tc>
        <w:tc>
          <w:tcPr>
            <w:tcW w:w="3252" w:type="dxa"/>
            <w:tcBorders>
              <w:top w:val="single" w:color="000000" w:sz="6" w:space="0"/>
              <w:left w:val="single" w:color="000000" w:sz="6" w:space="0"/>
            </w:tcBorders>
          </w:tcPr>
          <w:p w14:paraId="5C75F1A8">
            <w:pPr>
              <w:pStyle w:val="21"/>
              <w:rPr>
                <w:rFonts w:hint="eastAsia" w:ascii="仿宋_GB2312" w:hAnsi="仿宋_GB2312" w:eastAsia="仿宋_GB2312" w:cs="仿宋_GB2312"/>
                <w:sz w:val="32"/>
                <w:szCs w:val="32"/>
              </w:rPr>
            </w:pPr>
          </w:p>
        </w:tc>
      </w:tr>
    </w:tbl>
    <w:p w14:paraId="1A7D4040">
      <w:pPr>
        <w:spacing w:before="179"/>
        <w:ind w:left="66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（以上由</w:t>
      </w:r>
      <w:r>
        <w:rPr>
          <w:rFonts w:hint="eastAsia" w:ascii="仿宋_GB2312" w:hAnsi="仿宋_GB2312" w:eastAsia="仿宋_GB2312" w:cs="仿宋_GB2312"/>
          <w:sz w:val="32"/>
          <w:szCs w:val="32"/>
          <w:lang w:val="en-US" w:eastAsia="zh-CN"/>
        </w:rPr>
        <w:t>学会秘书处</w:t>
      </w:r>
      <w:bookmarkStart w:id="10" w:name="_GoBack"/>
      <w:bookmarkEnd w:id="10"/>
      <w:r>
        <w:rPr>
          <w:rFonts w:hint="eastAsia" w:ascii="仿宋_GB2312" w:hAnsi="仿宋_GB2312" w:eastAsia="仿宋_GB2312" w:cs="仿宋_GB2312"/>
          <w:sz w:val="32"/>
          <w:szCs w:val="32"/>
        </w:rPr>
        <w:t>填写）</w:t>
      </w:r>
    </w:p>
    <w:p w14:paraId="5216A001">
      <w:pPr>
        <w:pStyle w:val="4"/>
        <w:rPr>
          <w:rFonts w:ascii="Times New Roman" w:hAnsi="Times New Roman" w:eastAsia="方正仿宋_GB2312" w:cs="Times New Roman"/>
          <w:sz w:val="32"/>
          <w:szCs w:val="32"/>
        </w:rPr>
      </w:pPr>
    </w:p>
    <w:p w14:paraId="49052E83">
      <w:pPr>
        <w:pStyle w:val="4"/>
        <w:rPr>
          <w:rFonts w:ascii="Times New Roman" w:hAnsi="Times New Roman" w:eastAsia="方正仿宋_GB2312" w:cs="Times New Roman"/>
          <w:sz w:val="32"/>
          <w:szCs w:val="32"/>
        </w:rPr>
      </w:pPr>
    </w:p>
    <w:p w14:paraId="66D643DC">
      <w:pPr>
        <w:jc w:val="center"/>
        <w:rPr>
          <w:rFonts w:ascii="Times New Roman" w:hAnsi="Times New Roman" w:eastAsia="方正小标宋_GBK" w:cs="Times New Roman"/>
          <w:bCs/>
          <w:spacing w:val="-1"/>
          <w:sz w:val="44"/>
          <w:szCs w:val="44"/>
        </w:rPr>
      </w:pPr>
      <w:r>
        <w:rPr>
          <w:rFonts w:ascii="Times New Roman" w:hAnsi="Times New Roman" w:eastAsia="方正小标宋_GBK" w:cs="Times New Roman"/>
          <w:bCs/>
          <w:spacing w:val="-1"/>
          <w:sz w:val="44"/>
          <w:szCs w:val="44"/>
        </w:rPr>
        <w:t>湖南省职业教育与成人教育学会</w:t>
      </w:r>
    </w:p>
    <w:p w14:paraId="44F63AD2">
      <w:pPr>
        <w:jc w:val="center"/>
        <w:rPr>
          <w:rFonts w:ascii="Times New Roman" w:hAnsi="Times New Roman" w:eastAsia="方正小标宋_GBK" w:cs="Times New Roman"/>
          <w:bCs/>
          <w:sz w:val="44"/>
          <w:szCs w:val="44"/>
        </w:rPr>
      </w:pPr>
      <w:r>
        <w:rPr>
          <w:rFonts w:ascii="Times New Roman" w:hAnsi="Times New Roman" w:eastAsia="方正小标宋_GBK" w:cs="Times New Roman"/>
          <w:bCs/>
          <w:sz w:val="44"/>
          <w:szCs w:val="44"/>
        </w:rPr>
        <w:t>科研规划课题</w:t>
      </w:r>
    </w:p>
    <w:p w14:paraId="353B5358">
      <w:pPr>
        <w:spacing w:line="170" w:lineRule="auto"/>
        <w:jc w:val="center"/>
        <w:rPr>
          <w:rFonts w:ascii="Times New Roman" w:hAnsi="Times New Roman" w:eastAsia="方正小标宋_GBK" w:cs="Times New Roman"/>
          <w:bCs/>
          <w:sz w:val="44"/>
          <w:szCs w:val="44"/>
        </w:rPr>
      </w:pPr>
    </w:p>
    <w:p w14:paraId="3FF934A1">
      <w:pPr>
        <w:tabs>
          <w:tab w:val="left" w:pos="1084"/>
          <w:tab w:val="left" w:pos="2169"/>
        </w:tabs>
        <w:jc w:val="center"/>
        <w:rPr>
          <w:rFonts w:ascii="Times New Roman" w:hAnsi="Times New Roman" w:eastAsia="方正小标宋_GBK" w:cs="Times New Roman"/>
          <w:b/>
          <w:sz w:val="44"/>
          <w:szCs w:val="44"/>
        </w:rPr>
      </w:pPr>
      <w:r>
        <w:rPr>
          <w:rFonts w:ascii="Times New Roman" w:hAnsi="Times New Roman" w:eastAsia="方正小标宋_GBK" w:cs="Times New Roman"/>
          <w:bCs/>
          <w:sz w:val="44"/>
          <w:szCs w:val="44"/>
        </w:rPr>
        <w:t>申</w:t>
      </w:r>
      <w:r>
        <w:rPr>
          <w:rFonts w:ascii="Times New Roman" w:hAnsi="Times New Roman" w:eastAsia="方正小标宋_GBK" w:cs="Times New Roman"/>
          <w:bCs/>
          <w:sz w:val="44"/>
          <w:szCs w:val="44"/>
        </w:rPr>
        <w:tab/>
      </w:r>
      <w:r>
        <w:rPr>
          <w:rFonts w:ascii="Times New Roman" w:hAnsi="Times New Roman" w:eastAsia="方正小标宋_GBK" w:cs="Times New Roman"/>
          <w:bCs/>
          <w:sz w:val="44"/>
          <w:szCs w:val="44"/>
        </w:rPr>
        <w:t>报</w:t>
      </w:r>
      <w:r>
        <w:rPr>
          <w:rFonts w:ascii="Times New Roman" w:hAnsi="Times New Roman" w:eastAsia="方正小标宋_GBK" w:cs="Times New Roman"/>
          <w:bCs/>
          <w:sz w:val="44"/>
          <w:szCs w:val="44"/>
        </w:rPr>
        <w:tab/>
      </w:r>
      <w:r>
        <w:rPr>
          <w:rFonts w:ascii="Times New Roman" w:hAnsi="Times New Roman" w:eastAsia="方正小标宋_GBK" w:cs="Times New Roman"/>
          <w:bCs/>
          <w:sz w:val="44"/>
          <w:szCs w:val="44"/>
        </w:rPr>
        <w:t>表</w:t>
      </w:r>
    </w:p>
    <w:p w14:paraId="5664E046">
      <w:pPr>
        <w:tabs>
          <w:tab w:val="left" w:pos="1084"/>
          <w:tab w:val="left" w:pos="2169"/>
        </w:tabs>
        <w:spacing w:before="357"/>
        <w:ind w:right="355"/>
        <w:jc w:val="center"/>
        <w:rPr>
          <w:rFonts w:ascii="Times New Roman" w:hAnsi="Times New Roman" w:eastAsia="方正小标宋_GBK" w:cs="Times New Roman"/>
          <w:b/>
          <w:sz w:val="44"/>
          <w:szCs w:val="44"/>
        </w:rPr>
      </w:pPr>
    </w:p>
    <w:p w14:paraId="76FCCAD2">
      <w:pPr>
        <w:pStyle w:val="4"/>
        <w:spacing w:before="7"/>
        <w:rPr>
          <w:rFonts w:ascii="Times New Roman" w:hAnsi="Times New Roman" w:eastAsia="方正仿宋_GB2312" w:cs="Times New Roman"/>
          <w:b/>
          <w:sz w:val="32"/>
          <w:szCs w:val="32"/>
        </w:rPr>
      </w:pPr>
    </w:p>
    <w:p w14:paraId="5AFDE1FC">
      <w:pPr>
        <w:pStyle w:val="4"/>
        <w:tabs>
          <w:tab w:val="left" w:pos="2639"/>
          <w:tab w:val="left" w:pos="8616"/>
        </w:tabs>
        <w:ind w:firstLine="651" w:firstLineChars="150"/>
        <w:jc w:val="both"/>
        <w:rPr>
          <w:rFonts w:hint="eastAsia" w:ascii="仿宋_GB2312" w:hAnsi="仿宋_GB2312" w:eastAsia="仿宋_GB2312" w:cs="仿宋_GB2312"/>
          <w:sz w:val="32"/>
          <w:szCs w:val="32"/>
          <w:u w:val="single"/>
          <w:lang w:val="en-US"/>
        </w:rPr>
      </w:pPr>
      <w:r>
        <w:rPr>
          <w:rFonts w:hint="eastAsia" w:ascii="仿宋_GB2312" w:hAnsi="仿宋_GB2312" w:eastAsia="仿宋_GB2312" w:cs="仿宋_GB2312"/>
          <w:spacing w:val="57"/>
          <w:sz w:val="32"/>
          <w:szCs w:val="32"/>
        </w:rPr>
        <w:t>课题名称</w:t>
      </w:r>
      <w:r>
        <w:rPr>
          <w:rFonts w:hint="eastAsia" w:ascii="仿宋_GB2312" w:hAnsi="仿宋_GB2312" w:eastAsia="仿宋_GB2312" w:cs="仿宋_GB2312"/>
          <w:sz w:val="32"/>
          <w:szCs w:val="32"/>
          <w:u w:val="single"/>
          <w:lang w:val="en-US"/>
        </w:rPr>
        <w:t xml:space="preserve">      </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single"/>
          <w:lang w:val="en-US"/>
        </w:rPr>
        <w:t xml:space="preserve">                      </w:t>
      </w:r>
    </w:p>
    <w:p w14:paraId="58D35896">
      <w:pPr>
        <w:pStyle w:val="4"/>
        <w:tabs>
          <w:tab w:val="left" w:pos="2639"/>
          <w:tab w:val="left" w:pos="8616"/>
        </w:tabs>
        <w:ind w:firstLine="480" w:firstLineChars="150"/>
        <w:jc w:val="both"/>
        <w:rPr>
          <w:rFonts w:hint="eastAsia" w:ascii="仿宋_GB2312" w:hAnsi="仿宋_GB2312" w:eastAsia="仿宋_GB2312" w:cs="仿宋_GB2312"/>
          <w:sz w:val="32"/>
          <w:szCs w:val="32"/>
          <w:u w:val="single"/>
          <w:lang w:val="en-US"/>
        </w:rPr>
      </w:pPr>
    </w:p>
    <w:p w14:paraId="3F121239">
      <w:pPr>
        <w:pStyle w:val="4"/>
        <w:tabs>
          <w:tab w:val="left" w:pos="2639"/>
          <w:tab w:val="left" w:pos="8616"/>
        </w:tabs>
        <w:ind w:firstLine="651" w:firstLineChars="150"/>
        <w:jc w:val="both"/>
        <w:rPr>
          <w:rFonts w:hint="default" w:ascii="仿宋_GB2312" w:hAnsi="仿宋_GB2312" w:eastAsia="仿宋_GB2312" w:cs="仿宋_GB2312"/>
          <w:spacing w:val="57"/>
          <w:sz w:val="32"/>
          <w:szCs w:val="32"/>
          <w:u w:val="single"/>
          <w:lang w:val="en-US" w:eastAsia="zh-CN"/>
        </w:rPr>
      </w:pPr>
      <w:r>
        <w:rPr>
          <w:rFonts w:hint="eastAsia" w:ascii="仿宋_GB2312" w:hAnsi="仿宋_GB2312" w:eastAsia="仿宋_GB2312" w:cs="仿宋_GB2312"/>
          <w:spacing w:val="57"/>
          <w:sz w:val="32"/>
          <w:szCs w:val="32"/>
          <w:lang w:val="en-US" w:eastAsia="zh-CN"/>
        </w:rPr>
        <w:t>课题类别</w:t>
      </w:r>
      <w:r>
        <w:rPr>
          <w:rFonts w:hint="eastAsia" w:ascii="仿宋_GB2312" w:hAnsi="仿宋_GB2312" w:eastAsia="仿宋_GB2312" w:cs="仿宋_GB2312"/>
          <w:spacing w:val="57"/>
          <w:sz w:val="32"/>
          <w:szCs w:val="32"/>
          <w:u w:val="single"/>
          <w:lang w:val="en-US" w:eastAsia="zh-CN"/>
        </w:rPr>
        <w:t xml:space="preserve">                  </w:t>
      </w:r>
    </w:p>
    <w:p w14:paraId="1CF20E12">
      <w:pPr>
        <w:pStyle w:val="4"/>
        <w:tabs>
          <w:tab w:val="left" w:pos="2639"/>
          <w:tab w:val="left" w:pos="8616"/>
        </w:tabs>
        <w:spacing w:before="67"/>
        <w:ind w:firstLine="640" w:firstLineChars="200"/>
        <w:rPr>
          <w:rFonts w:hint="eastAsia" w:ascii="仿宋_GB2312" w:hAnsi="仿宋_GB2312" w:eastAsia="仿宋_GB2312" w:cs="仿宋_GB2312"/>
          <w:sz w:val="32"/>
          <w:szCs w:val="32"/>
        </w:rPr>
      </w:pPr>
    </w:p>
    <w:p w14:paraId="055CD2AC">
      <w:pPr>
        <w:pStyle w:val="4"/>
        <w:tabs>
          <w:tab w:val="left" w:pos="2639"/>
          <w:tab w:val="left" w:pos="8616"/>
        </w:tabs>
        <w:spacing w:before="67"/>
        <w:ind w:firstLine="640" w:firstLineChars="200"/>
        <w:rPr>
          <w:rFonts w:hint="eastAsia" w:ascii="仿宋_GB2312" w:hAnsi="仿宋_GB2312" w:eastAsia="仿宋_GB2312" w:cs="仿宋_GB2312"/>
          <w:sz w:val="32"/>
          <w:szCs w:val="32"/>
          <w:u w:val="single"/>
          <w:lang w:val="en-US"/>
        </w:rPr>
      </w:pPr>
      <w:r>
        <w:rPr>
          <w:rFonts w:hint="eastAsia" w:ascii="仿宋_GB2312" w:hAnsi="仿宋_GB2312" w:eastAsia="仿宋_GB2312" w:cs="仿宋_GB2312"/>
          <w:sz w:val="32"/>
          <w:szCs w:val="32"/>
          <w:u w:val="none"/>
          <w:lang w:val="en-US" w:eastAsia="zh-CN"/>
        </w:rPr>
        <w:t xml:space="preserve">课题负责人 </w:t>
      </w:r>
      <w:r>
        <w:rPr>
          <w:rFonts w:hint="eastAsia" w:ascii="仿宋_GB2312" w:hAnsi="仿宋_GB2312" w:eastAsia="仿宋_GB2312" w:cs="仿宋_GB2312"/>
          <w:sz w:val="32"/>
          <w:szCs w:val="32"/>
          <w:u w:val="single"/>
          <w:lang w:val="en-US"/>
        </w:rPr>
        <w:t xml:space="preserve">                     </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single"/>
          <w:lang w:val="en-US"/>
        </w:rPr>
        <w:t xml:space="preserve">       </w:t>
      </w:r>
    </w:p>
    <w:p w14:paraId="550ABDAA">
      <w:pPr>
        <w:pStyle w:val="4"/>
        <w:spacing w:before="7"/>
        <w:rPr>
          <w:rFonts w:hint="eastAsia" w:ascii="仿宋_GB2312" w:hAnsi="仿宋_GB2312" w:eastAsia="仿宋_GB2312" w:cs="仿宋_GB2312"/>
          <w:sz w:val="32"/>
          <w:szCs w:val="32"/>
        </w:rPr>
      </w:pPr>
    </w:p>
    <w:p w14:paraId="181B10E8">
      <w:pPr>
        <w:pStyle w:val="4"/>
        <w:tabs>
          <w:tab w:val="left" w:pos="2639"/>
          <w:tab w:val="left" w:pos="8616"/>
        </w:tabs>
        <w:spacing w:before="67"/>
        <w:ind w:firstLine="640" w:firstLineChars="200"/>
        <w:rPr>
          <w:rFonts w:hint="eastAsia" w:ascii="仿宋_GB2312" w:hAnsi="仿宋_GB2312" w:eastAsia="仿宋_GB2312" w:cs="仿宋_GB2312"/>
          <w:sz w:val="32"/>
          <w:szCs w:val="32"/>
          <w:u w:val="single"/>
          <w:lang w:val="en-US"/>
        </w:rPr>
      </w:pPr>
      <w:r>
        <w:rPr>
          <w:rFonts w:hint="eastAsia" w:ascii="仿宋_GB2312" w:hAnsi="仿宋_GB2312" w:eastAsia="仿宋_GB2312" w:cs="仿宋_GB2312"/>
          <w:sz w:val="32"/>
          <w:szCs w:val="32"/>
          <w:u w:val="none"/>
          <w:lang w:val="en-US" w:eastAsia="zh-CN"/>
        </w:rPr>
        <w:t>负责人工作单位（盖章）</w:t>
      </w:r>
      <w:r>
        <w:rPr>
          <w:rFonts w:hint="eastAsia" w:ascii="仿宋_GB2312" w:hAnsi="仿宋_GB2312" w:eastAsia="仿宋_GB2312" w:cs="仿宋_GB2312"/>
          <w:sz w:val="32"/>
          <w:szCs w:val="32"/>
          <w:u w:val="single"/>
          <w:lang w:val="en-US"/>
        </w:rPr>
        <w:t xml:space="preserve">                    </w:t>
      </w:r>
    </w:p>
    <w:p w14:paraId="61644834">
      <w:pPr>
        <w:pStyle w:val="4"/>
        <w:rPr>
          <w:rFonts w:hint="eastAsia" w:ascii="仿宋_GB2312" w:hAnsi="仿宋_GB2312" w:eastAsia="仿宋_GB2312" w:cs="仿宋_GB2312"/>
          <w:sz w:val="32"/>
          <w:szCs w:val="32"/>
        </w:rPr>
      </w:pPr>
    </w:p>
    <w:p w14:paraId="55645EA4">
      <w:pPr>
        <w:pStyle w:val="4"/>
        <w:tabs>
          <w:tab w:val="left" w:pos="837"/>
          <w:tab w:val="left" w:pos="1437"/>
          <w:tab w:val="left" w:pos="2037"/>
          <w:tab w:val="left" w:pos="2639"/>
          <w:tab w:val="left" w:pos="8616"/>
        </w:tabs>
        <w:spacing w:before="68"/>
        <w:ind w:firstLine="640" w:firstLineChars="200"/>
        <w:rPr>
          <w:rFonts w:hint="default" w:ascii="仿宋_GB2312" w:hAnsi="仿宋_GB2312" w:eastAsia="仿宋_GB2312" w:cs="仿宋_GB2312"/>
          <w:sz w:val="32"/>
          <w:szCs w:val="32"/>
          <w:lang w:val="en-US"/>
        </w:rPr>
      </w:pPr>
      <w:r>
        <w:rPr>
          <w:rFonts w:hint="eastAsia" w:ascii="仿宋_GB2312" w:hAnsi="仿宋_GB2312" w:eastAsia="仿宋_GB2312" w:cs="仿宋_GB2312"/>
          <w:sz w:val="32"/>
          <w:szCs w:val="32"/>
          <w:lang w:val="en-US" w:eastAsia="zh-CN"/>
        </w:rPr>
        <w:t>申报（推荐）单位（盖章）</w:t>
      </w:r>
      <w:r>
        <w:rPr>
          <w:rFonts w:hint="eastAsia" w:ascii="仿宋_GB2312" w:hAnsi="仿宋_GB2312" w:eastAsia="仿宋_GB2312" w:cs="仿宋_GB2312"/>
          <w:sz w:val="32"/>
          <w:szCs w:val="32"/>
          <w:u w:val="single"/>
          <w:lang w:val="en-US" w:eastAsia="zh-CN"/>
        </w:rPr>
        <w:t xml:space="preserve">                  </w:t>
      </w:r>
    </w:p>
    <w:p w14:paraId="71669397">
      <w:pPr>
        <w:pStyle w:val="4"/>
        <w:tabs>
          <w:tab w:val="left" w:pos="837"/>
          <w:tab w:val="left" w:pos="1437"/>
          <w:tab w:val="left" w:pos="2037"/>
          <w:tab w:val="left" w:pos="2639"/>
          <w:tab w:val="left" w:pos="8616"/>
        </w:tabs>
        <w:spacing w:before="68"/>
        <w:ind w:firstLine="640" w:firstLineChars="200"/>
        <w:rPr>
          <w:rFonts w:hint="eastAsia" w:ascii="仿宋_GB2312" w:hAnsi="仿宋_GB2312" w:eastAsia="仿宋_GB2312" w:cs="仿宋_GB2312"/>
          <w:sz w:val="32"/>
          <w:szCs w:val="32"/>
        </w:rPr>
      </w:pPr>
    </w:p>
    <w:p w14:paraId="5F32EE5F">
      <w:pPr>
        <w:pStyle w:val="4"/>
        <w:tabs>
          <w:tab w:val="left" w:pos="837"/>
          <w:tab w:val="left" w:pos="1437"/>
          <w:tab w:val="left" w:pos="2037"/>
          <w:tab w:val="left" w:pos="2639"/>
          <w:tab w:val="left" w:pos="8616"/>
        </w:tabs>
        <w:spacing w:before="68"/>
        <w:ind w:firstLine="640" w:firstLineChars="200"/>
        <w:rPr>
          <w:rFonts w:hint="eastAsia" w:ascii="仿宋_GB2312" w:hAnsi="仿宋_GB2312" w:eastAsia="仿宋_GB2312" w:cs="仿宋_GB2312"/>
          <w:sz w:val="32"/>
          <w:szCs w:val="32"/>
          <w:u w:val="single"/>
          <w:lang w:val="en-US"/>
        </w:rPr>
      </w:pPr>
      <w:r>
        <w:rPr>
          <w:rFonts w:hint="eastAsia" w:ascii="仿宋_GB2312" w:hAnsi="仿宋_GB2312" w:eastAsia="仿宋_GB2312" w:cs="仿宋_GB2312"/>
          <w:sz w:val="32"/>
          <w:szCs w:val="32"/>
        </w:rPr>
        <w:t>填</w:t>
      </w:r>
      <w:r>
        <w:rPr>
          <w:rFonts w:hint="eastAsia" w:ascii="仿宋_GB2312" w:hAnsi="仿宋_GB2312" w:eastAsia="仿宋_GB2312" w:cs="仿宋_GB2312"/>
          <w:sz w:val="32"/>
          <w:szCs w:val="32"/>
          <w:lang w:val="en-US"/>
        </w:rPr>
        <w:t xml:space="preserve">  </w:t>
      </w:r>
      <w:r>
        <w:rPr>
          <w:rFonts w:hint="eastAsia" w:ascii="仿宋_GB2312" w:hAnsi="仿宋_GB2312" w:eastAsia="仿宋_GB2312" w:cs="仿宋_GB2312"/>
          <w:sz w:val="32"/>
          <w:szCs w:val="32"/>
        </w:rPr>
        <w:t>报</w:t>
      </w:r>
      <w:r>
        <w:rPr>
          <w:rFonts w:hint="eastAsia" w:ascii="仿宋_GB2312" w:hAnsi="仿宋_GB2312" w:eastAsia="仿宋_GB2312" w:cs="仿宋_GB2312"/>
          <w:sz w:val="32"/>
          <w:szCs w:val="32"/>
          <w:lang w:val="en-US"/>
        </w:rPr>
        <w:t xml:space="preserve">  </w:t>
      </w:r>
      <w:r>
        <w:rPr>
          <w:rFonts w:hint="eastAsia" w:ascii="仿宋_GB2312" w:hAnsi="仿宋_GB2312" w:eastAsia="仿宋_GB2312" w:cs="仿宋_GB2312"/>
          <w:sz w:val="32"/>
          <w:szCs w:val="32"/>
        </w:rPr>
        <w:t>日</w:t>
      </w:r>
      <w:r>
        <w:rPr>
          <w:rFonts w:hint="eastAsia" w:ascii="仿宋_GB2312" w:hAnsi="仿宋_GB2312" w:eastAsia="仿宋_GB2312" w:cs="仿宋_GB2312"/>
          <w:sz w:val="32"/>
          <w:szCs w:val="32"/>
          <w:lang w:val="en-US"/>
        </w:rPr>
        <w:t xml:space="preserve">  </w:t>
      </w:r>
      <w:r>
        <w:rPr>
          <w:rFonts w:hint="eastAsia" w:ascii="仿宋_GB2312" w:hAnsi="仿宋_GB2312" w:eastAsia="仿宋_GB2312" w:cs="仿宋_GB2312"/>
          <w:sz w:val="32"/>
          <w:szCs w:val="32"/>
        </w:rPr>
        <w:t>期</w:t>
      </w:r>
      <w:r>
        <w:rPr>
          <w:rFonts w:hint="eastAsia" w:ascii="仿宋_GB2312" w:hAnsi="仿宋_GB2312" w:eastAsia="仿宋_GB2312" w:cs="仿宋_GB2312"/>
          <w:sz w:val="32"/>
          <w:szCs w:val="32"/>
          <w:u w:val="single"/>
          <w:lang w:val="en-US"/>
        </w:rPr>
        <w:t xml:space="preserve">                            </w:t>
      </w:r>
    </w:p>
    <w:p w14:paraId="3FEF998A">
      <w:pPr>
        <w:pStyle w:val="4"/>
        <w:spacing w:before="2"/>
        <w:rPr>
          <w:rFonts w:hint="eastAsia" w:ascii="仿宋_GB2312" w:hAnsi="仿宋_GB2312" w:eastAsia="仿宋_GB2312" w:cs="仿宋_GB2312"/>
          <w:sz w:val="32"/>
          <w:szCs w:val="32"/>
        </w:rPr>
      </w:pPr>
    </w:p>
    <w:p w14:paraId="65E2139B">
      <w:pPr>
        <w:pStyle w:val="3"/>
        <w:spacing w:before="54"/>
        <w:ind w:right="351"/>
        <w:jc w:val="center"/>
        <w:rPr>
          <w:rFonts w:hint="eastAsia" w:ascii="仿宋_GB2312" w:hAnsi="仿宋_GB2312" w:eastAsia="仿宋_GB2312" w:cs="仿宋_GB2312"/>
        </w:rPr>
      </w:pPr>
      <w:r>
        <w:rPr>
          <w:rFonts w:hint="eastAsia" w:ascii="仿宋_GB2312" w:hAnsi="仿宋_GB2312" w:eastAsia="仿宋_GB2312" w:cs="仿宋_GB2312"/>
        </w:rPr>
        <w:t>湖南省职业教育与成人教育学会</w:t>
      </w:r>
    </w:p>
    <w:p w14:paraId="2D16FE4C">
      <w:pPr>
        <w:spacing w:before="214"/>
        <w:ind w:right="355"/>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w:t>
      </w:r>
      <w:r>
        <w:rPr>
          <w:rFonts w:hint="eastAsia" w:ascii="仿宋_GB2312" w:hAnsi="仿宋_GB2312" w:eastAsia="仿宋_GB2312" w:cs="仿宋_GB2312"/>
          <w:sz w:val="32"/>
          <w:szCs w:val="32"/>
          <w:lang w:val="en-US"/>
        </w:rPr>
        <w:t>2</w:t>
      </w: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rPr>
        <w:t xml:space="preserve"> 年修订</w:t>
      </w:r>
    </w:p>
    <w:p w14:paraId="66266D0B">
      <w:pPr>
        <w:jc w:val="center"/>
        <w:rPr>
          <w:rFonts w:hint="eastAsia" w:ascii="仿宋_GB2312" w:hAnsi="仿宋_GB2312" w:eastAsia="仿宋_GB2312" w:cs="仿宋_GB2312"/>
          <w:sz w:val="32"/>
          <w:szCs w:val="32"/>
        </w:rPr>
        <w:sectPr>
          <w:footerReference r:id="rId3" w:type="default"/>
          <w:pgSz w:w="11900" w:h="16840"/>
          <w:pgMar w:top="1520" w:right="1200" w:bottom="1200" w:left="1560" w:header="0" w:footer="935" w:gutter="0"/>
          <w:cols w:space="720" w:num="1"/>
        </w:sectPr>
      </w:pPr>
    </w:p>
    <w:p w14:paraId="292AC69D">
      <w:pPr>
        <w:spacing w:line="400" w:lineRule="exact"/>
        <w:rPr>
          <w:rFonts w:ascii="黑体" w:hAnsi="宋体" w:eastAsia="黑体"/>
          <w:sz w:val="28"/>
          <w:szCs w:val="28"/>
        </w:rPr>
      </w:pPr>
      <w:r>
        <w:rPr>
          <w:rFonts w:hint="eastAsia" w:ascii="黑体" w:hAnsi="宋体" w:eastAsia="黑体"/>
          <w:sz w:val="28"/>
          <w:szCs w:val="28"/>
        </w:rPr>
        <w:t>申请者承诺：</w:t>
      </w:r>
    </w:p>
    <w:p w14:paraId="0F8D5E5E">
      <w:pPr>
        <w:spacing w:line="400" w:lineRule="exact"/>
        <w:rPr>
          <w:rFonts w:ascii="仿宋_GB2312" w:hAnsi="宋体" w:eastAsia="仿宋_GB2312"/>
          <w:sz w:val="28"/>
          <w:szCs w:val="28"/>
        </w:rPr>
      </w:pPr>
      <w:r>
        <w:rPr>
          <w:rFonts w:ascii="黑体" w:hAnsi="宋体" w:eastAsia="黑体"/>
          <w:sz w:val="28"/>
          <w:szCs w:val="28"/>
        </w:rPr>
        <w:t xml:space="preserve">    </w:t>
      </w:r>
      <w:r>
        <w:rPr>
          <w:rFonts w:hint="eastAsia" w:ascii="仿宋_GB2312" w:hAnsi="宋体" w:eastAsia="仿宋_GB2312"/>
          <w:sz w:val="28"/>
          <w:szCs w:val="28"/>
        </w:rPr>
        <w:t>我承诺对本人填写的各项内容的真实性负责，保证没有知识产权争议。如获准立项，我承诺以本表为有约束力的协议，遵守湖南省</w:t>
      </w:r>
      <w:r>
        <w:rPr>
          <w:rFonts w:hint="eastAsia" w:ascii="仿宋_GB2312" w:hAnsi="宋体" w:eastAsia="仿宋_GB2312"/>
          <w:sz w:val="28"/>
          <w:szCs w:val="28"/>
          <w:lang w:val="en-US" w:eastAsia="zh-CN"/>
        </w:rPr>
        <w:t>职业教育与成人教育学会</w:t>
      </w:r>
      <w:r>
        <w:rPr>
          <w:rFonts w:hint="eastAsia" w:ascii="仿宋_GB2312" w:hAnsi="宋体" w:eastAsia="仿宋_GB2312"/>
          <w:sz w:val="28"/>
          <w:szCs w:val="28"/>
        </w:rPr>
        <w:t>的相关规定，按计划认真开展研究工作，取得预期研究成果。湖南省</w:t>
      </w:r>
      <w:r>
        <w:rPr>
          <w:rFonts w:hint="eastAsia" w:ascii="仿宋_GB2312" w:hAnsi="宋体" w:eastAsia="仿宋_GB2312"/>
          <w:sz w:val="28"/>
          <w:szCs w:val="28"/>
          <w:lang w:val="en-US" w:eastAsia="zh-CN"/>
        </w:rPr>
        <w:t>职业教育与成人教育学会</w:t>
      </w:r>
      <w:r>
        <w:rPr>
          <w:rFonts w:hint="eastAsia" w:ascii="仿宋_GB2312" w:hAnsi="宋体" w:eastAsia="仿宋_GB2312"/>
          <w:sz w:val="28"/>
          <w:szCs w:val="28"/>
        </w:rPr>
        <w:t>有权使用本表所有数据和资料。</w:t>
      </w:r>
    </w:p>
    <w:p w14:paraId="7AA4B057">
      <w:pPr>
        <w:spacing w:line="400" w:lineRule="exact"/>
        <w:ind w:right="1800"/>
        <w:jc w:val="center"/>
        <w:rPr>
          <w:rFonts w:ascii="仿宋_GB2312" w:hAnsi="宋体" w:eastAsia="仿宋_GB2312"/>
          <w:sz w:val="28"/>
          <w:szCs w:val="28"/>
        </w:rPr>
      </w:pPr>
      <w:r>
        <w:rPr>
          <w:rFonts w:ascii="仿宋_GB2312" w:hAnsi="宋体" w:eastAsia="仿宋_GB2312"/>
          <w:sz w:val="28"/>
          <w:szCs w:val="28"/>
        </w:rPr>
        <w:t xml:space="preserve">                                </w:t>
      </w:r>
      <w:r>
        <w:rPr>
          <w:rFonts w:hint="eastAsia" w:ascii="仿宋_GB2312" w:hAnsi="宋体" w:eastAsia="仿宋_GB2312"/>
          <w:sz w:val="28"/>
          <w:szCs w:val="28"/>
        </w:rPr>
        <w:t>申请人（签章）</w:t>
      </w:r>
    </w:p>
    <w:p w14:paraId="706EB2A8">
      <w:pPr>
        <w:spacing w:line="400" w:lineRule="exact"/>
        <w:ind w:right="899"/>
        <w:jc w:val="center"/>
        <w:rPr>
          <w:rFonts w:ascii="仿宋_GB2312" w:hAnsi="宋体" w:eastAsia="仿宋_GB2312"/>
          <w:sz w:val="28"/>
          <w:szCs w:val="28"/>
        </w:rPr>
      </w:pPr>
      <w:r>
        <w:rPr>
          <w:rFonts w:ascii="仿宋_GB2312" w:hAnsi="宋体" w:eastAsia="仿宋_GB2312"/>
          <w:sz w:val="28"/>
          <w:szCs w:val="28"/>
        </w:rPr>
        <w:t xml:space="preserve">                                    </w:t>
      </w:r>
      <w:r>
        <w:rPr>
          <w:rFonts w:hint="eastAsia" w:ascii="仿宋_GB2312" w:hAnsi="宋体" w:eastAsia="仿宋_GB2312"/>
          <w:sz w:val="28"/>
          <w:szCs w:val="28"/>
        </w:rPr>
        <w:t>年</w:t>
      </w:r>
      <w:r>
        <w:rPr>
          <w:rFonts w:ascii="仿宋_GB2312" w:hAnsi="宋体" w:eastAsia="仿宋_GB2312"/>
          <w:sz w:val="28"/>
          <w:szCs w:val="28"/>
        </w:rPr>
        <w:t xml:space="preserve">   </w:t>
      </w:r>
      <w:r>
        <w:rPr>
          <w:rFonts w:hint="eastAsia" w:ascii="仿宋_GB2312" w:hAnsi="宋体" w:eastAsia="仿宋_GB2312"/>
          <w:sz w:val="28"/>
          <w:szCs w:val="28"/>
        </w:rPr>
        <w:t>月</w:t>
      </w:r>
      <w:r>
        <w:rPr>
          <w:rFonts w:ascii="仿宋_GB2312" w:hAnsi="宋体" w:eastAsia="仿宋_GB2312"/>
          <w:sz w:val="28"/>
          <w:szCs w:val="28"/>
        </w:rPr>
        <w:t xml:space="preserve">   </w:t>
      </w:r>
      <w:r>
        <w:rPr>
          <w:rFonts w:hint="eastAsia" w:ascii="仿宋_GB2312" w:hAnsi="宋体" w:eastAsia="仿宋_GB2312"/>
          <w:sz w:val="28"/>
          <w:szCs w:val="28"/>
        </w:rPr>
        <w:t>日</w:t>
      </w:r>
    </w:p>
    <w:p w14:paraId="47A08B3F">
      <w:pPr>
        <w:spacing w:before="38"/>
        <w:ind w:right="356"/>
        <w:jc w:val="center"/>
        <w:rPr>
          <w:rFonts w:hint="eastAsia" w:ascii="仿宋_GB2312" w:hAnsi="仿宋_GB2312" w:eastAsia="仿宋_GB2312" w:cs="仿宋_GB2312"/>
          <w:sz w:val="32"/>
          <w:szCs w:val="32"/>
        </w:rPr>
      </w:pPr>
    </w:p>
    <w:p w14:paraId="398DD52D">
      <w:pPr>
        <w:spacing w:line="400" w:lineRule="exact"/>
        <w:jc w:val="center"/>
        <w:rPr>
          <w:rFonts w:hint="eastAsia" w:ascii="黑体" w:hAnsi="黑体" w:eastAsia="黑体" w:cs="黑体"/>
          <w:sz w:val="32"/>
          <w:szCs w:val="32"/>
          <w:lang w:val="en-US" w:eastAsia="zh-CN"/>
        </w:rPr>
      </w:pPr>
    </w:p>
    <w:p w14:paraId="36B31912">
      <w:pPr>
        <w:spacing w:line="400" w:lineRule="exact"/>
        <w:jc w:val="center"/>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填表说明</w:t>
      </w:r>
    </w:p>
    <w:p w14:paraId="0FD5A919">
      <w:pPr>
        <w:pStyle w:val="4"/>
        <w:spacing w:before="9"/>
        <w:rPr>
          <w:rFonts w:hint="eastAsia" w:ascii="仿宋_GB2312" w:hAnsi="仿宋_GB2312" w:eastAsia="仿宋_GB2312" w:cs="仿宋_GB2312"/>
          <w:sz w:val="32"/>
          <w:szCs w:val="32"/>
        </w:rPr>
      </w:pPr>
    </w:p>
    <w:p w14:paraId="66E560B1">
      <w:pPr>
        <w:pStyle w:val="4"/>
        <w:spacing w:before="1" w:line="487" w:lineRule="auto"/>
        <w:ind w:left="240" w:right="595" w:firstLine="566"/>
        <w:jc w:val="both"/>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一、本表需如实准确填写，封面上方2个代码框申请人不填，其他栏目由申请人用中文填写。负责人、负责人工作单位（如某高校）、课题申报（推荐）单位（如某学会、某市州社科联、某专委会）对本表的真实性、合法性负责。负责人工作单位和申报（推荐）单位一致的盖一个公章即可，不一致则分别盖章。</w:t>
      </w:r>
    </w:p>
    <w:p w14:paraId="12C4EA98">
      <w:pPr>
        <w:pStyle w:val="4"/>
        <w:spacing w:before="1" w:line="487" w:lineRule="auto"/>
        <w:ind w:left="240" w:right="595" w:firstLine="566"/>
        <w:jc w:val="both"/>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二、每个课题限报负责人一人，课题负责人必须是该课题的实际主持人，并在该课题研究中承担实质性任务。课题负责人一般需具有中级及以上专业技术职务（职称）。</w:t>
      </w:r>
    </w:p>
    <w:p w14:paraId="13EC3684">
      <w:pPr>
        <w:pStyle w:val="4"/>
        <w:spacing w:line="480" w:lineRule="auto"/>
        <w:ind w:left="240" w:right="522" w:firstLine="566"/>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三、课题类别为“重大课题”、“一般课题”、“青年课题”三类。</w:t>
      </w:r>
    </w:p>
    <w:p w14:paraId="25DADD7B">
      <w:pPr>
        <w:pStyle w:val="4"/>
        <w:spacing w:line="480" w:lineRule="auto"/>
        <w:ind w:left="240" w:right="522" w:firstLine="566"/>
        <w:rPr>
          <w:rFonts w:hint="default"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四、本表原件盖章签字之后扫描成pdf文件上传至学会科研系统，原件由负责人所在单位科研部门妥善保存。</w:t>
      </w:r>
    </w:p>
    <w:p w14:paraId="7392AA5E">
      <w:pPr>
        <w:pStyle w:val="4"/>
        <w:spacing w:before="4"/>
        <w:rPr>
          <w:rFonts w:hint="eastAsia" w:ascii="仿宋_GB2312" w:hAnsi="仿宋_GB2312" w:eastAsia="仿宋_GB2312" w:cs="仿宋_GB2312"/>
          <w:sz w:val="28"/>
          <w:szCs w:val="28"/>
        </w:rPr>
      </w:pPr>
    </w:p>
    <w:p w14:paraId="5C6653A6">
      <w:pPr>
        <w:pStyle w:val="4"/>
        <w:spacing w:before="4"/>
        <w:rPr>
          <w:rFonts w:ascii="Times New Roman" w:hAnsi="Times New Roman" w:cs="Times New Roman"/>
          <w:sz w:val="13"/>
        </w:rPr>
      </w:pPr>
    </w:p>
    <w:p w14:paraId="6FB97941">
      <w:pPr>
        <w:pStyle w:val="4"/>
        <w:spacing w:before="4"/>
        <w:rPr>
          <w:rFonts w:ascii="Times New Roman" w:hAnsi="Times New Roman" w:cs="Times New Roman"/>
          <w:sz w:val="13"/>
        </w:rPr>
      </w:pPr>
    </w:p>
    <w:p w14:paraId="0E58E9F6">
      <w:pPr>
        <w:pStyle w:val="4"/>
        <w:spacing w:before="4"/>
        <w:rPr>
          <w:rFonts w:ascii="Times New Roman" w:hAnsi="Times New Roman" w:cs="Times New Roman"/>
          <w:sz w:val="13"/>
        </w:rPr>
      </w:pPr>
    </w:p>
    <w:p w14:paraId="48DB915D">
      <w:pPr>
        <w:pStyle w:val="4"/>
        <w:spacing w:before="4"/>
        <w:rPr>
          <w:rFonts w:ascii="Times New Roman" w:hAnsi="Times New Roman" w:cs="Times New Roman"/>
          <w:sz w:val="13"/>
        </w:rPr>
      </w:pPr>
    </w:p>
    <w:p w14:paraId="7A737EC2">
      <w:pPr>
        <w:pStyle w:val="4"/>
        <w:spacing w:before="4"/>
        <w:rPr>
          <w:rFonts w:ascii="Times New Roman" w:hAnsi="Times New Roman" w:cs="Times New Roman"/>
          <w:sz w:val="13"/>
        </w:rPr>
      </w:pPr>
    </w:p>
    <w:p w14:paraId="13BD9437">
      <w:pPr>
        <w:pStyle w:val="4"/>
        <w:spacing w:before="4"/>
        <w:rPr>
          <w:rFonts w:ascii="Times New Roman" w:hAnsi="Times New Roman" w:cs="Times New Roman"/>
          <w:sz w:val="13"/>
        </w:rPr>
      </w:pPr>
    </w:p>
    <w:p w14:paraId="35F099D2">
      <w:pPr>
        <w:pStyle w:val="4"/>
        <w:spacing w:before="4"/>
        <w:rPr>
          <w:rFonts w:ascii="Times New Roman" w:hAnsi="Times New Roman" w:cs="Times New Roman"/>
          <w:sz w:val="13"/>
        </w:rPr>
      </w:pPr>
    </w:p>
    <w:p w14:paraId="2755B366">
      <w:pPr>
        <w:pStyle w:val="4"/>
        <w:spacing w:before="4"/>
        <w:rPr>
          <w:rFonts w:ascii="Times New Roman" w:hAnsi="Times New Roman" w:cs="Times New Roman"/>
          <w:sz w:val="13"/>
        </w:rPr>
      </w:pPr>
    </w:p>
    <w:p w14:paraId="4005D8BC">
      <w:pPr>
        <w:pStyle w:val="4"/>
        <w:spacing w:before="4"/>
        <w:rPr>
          <w:rFonts w:ascii="Times New Roman" w:hAnsi="Times New Roman" w:cs="Times New Roman"/>
          <w:sz w:val="13"/>
        </w:rPr>
      </w:pPr>
    </w:p>
    <w:p w14:paraId="2BF3864D">
      <w:pPr>
        <w:pStyle w:val="4"/>
        <w:spacing w:before="4"/>
        <w:rPr>
          <w:rFonts w:ascii="Times New Roman" w:hAnsi="Times New Roman" w:cs="Times New Roman"/>
          <w:sz w:val="13"/>
        </w:rPr>
      </w:pPr>
    </w:p>
    <w:p w14:paraId="592D2E44">
      <w:pPr>
        <w:pStyle w:val="4"/>
        <w:spacing w:before="4"/>
        <w:rPr>
          <w:rFonts w:ascii="Times New Roman" w:hAnsi="Times New Roman" w:cs="Times New Roman"/>
          <w:sz w:val="13"/>
        </w:rPr>
      </w:pPr>
    </w:p>
    <w:p w14:paraId="56C800B4">
      <w:pPr>
        <w:pStyle w:val="4"/>
        <w:spacing w:before="4"/>
        <w:rPr>
          <w:rFonts w:ascii="Times New Roman" w:hAnsi="Times New Roman" w:cs="Times New Roman"/>
          <w:sz w:val="13"/>
        </w:rPr>
      </w:pPr>
    </w:p>
    <w:p w14:paraId="3DA5B3BC">
      <w:pPr>
        <w:pStyle w:val="4"/>
        <w:spacing w:before="4"/>
        <w:rPr>
          <w:rFonts w:ascii="Times New Roman" w:hAnsi="Times New Roman" w:cs="Times New Roman"/>
          <w:sz w:val="13"/>
        </w:rPr>
      </w:pPr>
    </w:p>
    <w:p w14:paraId="3AB12D05">
      <w:pPr>
        <w:pStyle w:val="4"/>
        <w:spacing w:before="4"/>
        <w:rPr>
          <w:rFonts w:ascii="Times New Roman" w:hAnsi="Times New Roman" w:cs="Times New Roman"/>
          <w:sz w:val="13"/>
        </w:rPr>
      </w:pPr>
    </w:p>
    <w:p w14:paraId="6CB29628">
      <w:pPr>
        <w:outlineLvl w:val="0"/>
        <w:rPr>
          <w:rFonts w:hint="default" w:ascii="Times New Roman" w:hAnsi="Times New Roman" w:eastAsia="黑体" w:cs="Times New Roman"/>
          <w:sz w:val="30"/>
          <w:lang w:val="en-US" w:eastAsia="zh-CN"/>
        </w:rPr>
      </w:pPr>
      <w:r>
        <w:rPr>
          <w:rFonts w:hint="eastAsia" w:ascii="Times New Roman" w:hAnsi="Times New Roman" w:eastAsia="黑体" w:cs="Times New Roman"/>
          <w:sz w:val="30"/>
          <w:lang w:val="en-US" w:eastAsia="zh-CN"/>
        </w:rPr>
        <w:t>一、数据表</w:t>
      </w:r>
    </w:p>
    <w:p w14:paraId="3C20471A">
      <w:pPr>
        <w:outlineLvl w:val="0"/>
        <w:rPr>
          <w:rFonts w:hint="eastAsia" w:ascii="Times New Roman" w:hAnsi="Times New Roman" w:eastAsia="黑体" w:cs="Times New Roman"/>
          <w:sz w:val="30"/>
        </w:rPr>
      </w:pPr>
    </w:p>
    <w:tbl>
      <w:tblPr>
        <w:tblStyle w:val="11"/>
        <w:tblW w:w="993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71"/>
        <w:gridCol w:w="269"/>
        <w:gridCol w:w="1574"/>
        <w:gridCol w:w="850"/>
        <w:gridCol w:w="850"/>
        <w:gridCol w:w="850"/>
        <w:gridCol w:w="852"/>
        <w:gridCol w:w="1104"/>
        <w:gridCol w:w="739"/>
        <w:gridCol w:w="1574"/>
      </w:tblGrid>
      <w:tr w14:paraId="24BE42E4">
        <w:trPr>
          <w:trHeight w:val="458" w:hRule="atLeast"/>
          <w:jc w:val="center"/>
        </w:trPr>
        <w:tc>
          <w:tcPr>
            <w:tcW w:w="1271" w:type="dxa"/>
            <w:noWrap w:val="0"/>
            <w:vAlign w:val="center"/>
          </w:tcPr>
          <w:p w14:paraId="72EABB82">
            <w:pPr>
              <w:jc w:val="center"/>
              <w:rPr>
                <w:rFonts w:ascii="宋体" w:hAnsi="宋体"/>
              </w:rPr>
            </w:pPr>
            <w:r>
              <w:rPr>
                <w:rFonts w:hint="eastAsia" w:ascii="宋体" w:hAnsi="宋体"/>
              </w:rPr>
              <w:t>课题名称</w:t>
            </w:r>
          </w:p>
        </w:tc>
        <w:tc>
          <w:tcPr>
            <w:tcW w:w="8662" w:type="dxa"/>
            <w:gridSpan w:val="9"/>
            <w:noWrap w:val="0"/>
            <w:vAlign w:val="center"/>
          </w:tcPr>
          <w:p w14:paraId="0FE371D3">
            <w:pPr>
              <w:jc w:val="left"/>
              <w:rPr>
                <w:rFonts w:ascii="宋体" w:hAnsi="宋体"/>
              </w:rPr>
            </w:pPr>
          </w:p>
        </w:tc>
      </w:tr>
      <w:tr w14:paraId="73FDC2A2">
        <w:trPr>
          <w:trHeight w:val="458" w:hRule="atLeast"/>
          <w:jc w:val="center"/>
        </w:trPr>
        <w:tc>
          <w:tcPr>
            <w:tcW w:w="1271" w:type="dxa"/>
            <w:noWrap w:val="0"/>
            <w:vAlign w:val="center"/>
          </w:tcPr>
          <w:p w14:paraId="3733365E">
            <w:pPr>
              <w:jc w:val="center"/>
              <w:rPr>
                <w:rFonts w:ascii="宋体" w:hAnsi="宋体"/>
              </w:rPr>
            </w:pPr>
            <w:r>
              <w:rPr>
                <w:rFonts w:hint="eastAsia" w:ascii="宋体" w:hAnsi="宋体"/>
              </w:rPr>
              <w:t>研究类型</w:t>
            </w:r>
          </w:p>
        </w:tc>
        <w:tc>
          <w:tcPr>
            <w:tcW w:w="8662" w:type="dxa"/>
            <w:gridSpan w:val="9"/>
            <w:noWrap w:val="0"/>
            <w:vAlign w:val="center"/>
          </w:tcPr>
          <w:p w14:paraId="1687D8BF">
            <w:pPr>
              <w:jc w:val="left"/>
              <w:rPr>
                <w:rFonts w:ascii="宋体" w:hAnsi="宋体"/>
              </w:rPr>
            </w:pPr>
          </w:p>
        </w:tc>
      </w:tr>
      <w:tr w14:paraId="195A984A">
        <w:trPr>
          <w:trHeight w:val="455" w:hRule="atLeast"/>
          <w:jc w:val="center"/>
        </w:trPr>
        <w:tc>
          <w:tcPr>
            <w:tcW w:w="1271" w:type="dxa"/>
            <w:noWrap w:val="0"/>
            <w:vAlign w:val="center"/>
          </w:tcPr>
          <w:p w14:paraId="555EA215">
            <w:pPr>
              <w:jc w:val="center"/>
              <w:rPr>
                <w:rFonts w:ascii="宋体" w:hAnsi="宋体"/>
              </w:rPr>
            </w:pPr>
            <w:r>
              <w:rPr>
                <w:rFonts w:hint="eastAsia" w:ascii="宋体" w:hAnsi="宋体"/>
              </w:rPr>
              <w:t>课题类别</w:t>
            </w:r>
          </w:p>
        </w:tc>
        <w:tc>
          <w:tcPr>
            <w:tcW w:w="8662" w:type="dxa"/>
            <w:gridSpan w:val="9"/>
            <w:noWrap w:val="0"/>
            <w:vAlign w:val="center"/>
          </w:tcPr>
          <w:p w14:paraId="3C8DD89B">
            <w:pPr>
              <w:jc w:val="left"/>
              <w:rPr>
                <w:rFonts w:ascii="宋体" w:hAnsi="宋体"/>
              </w:rPr>
            </w:pPr>
          </w:p>
        </w:tc>
      </w:tr>
      <w:tr w14:paraId="65A6FE8E">
        <w:trPr>
          <w:trHeight w:val="520" w:hRule="atLeast"/>
          <w:jc w:val="center"/>
        </w:trPr>
        <w:tc>
          <w:tcPr>
            <w:tcW w:w="1271" w:type="dxa"/>
            <w:noWrap w:val="0"/>
            <w:vAlign w:val="center"/>
          </w:tcPr>
          <w:p w14:paraId="12A30ADC">
            <w:pPr>
              <w:jc w:val="center"/>
              <w:rPr>
                <w:rFonts w:ascii="宋体" w:hAnsi="宋体"/>
              </w:rPr>
            </w:pPr>
            <w:r>
              <w:rPr>
                <w:rFonts w:hint="eastAsia" w:ascii="宋体" w:hAnsi="宋体"/>
              </w:rPr>
              <w:t>负责人姓名</w:t>
            </w:r>
          </w:p>
        </w:tc>
        <w:tc>
          <w:tcPr>
            <w:tcW w:w="1843" w:type="dxa"/>
            <w:gridSpan w:val="2"/>
            <w:noWrap w:val="0"/>
            <w:vAlign w:val="center"/>
          </w:tcPr>
          <w:p w14:paraId="5E075CAD">
            <w:pPr>
              <w:jc w:val="center"/>
              <w:rPr>
                <w:rFonts w:ascii="宋体" w:hAnsi="宋体"/>
              </w:rPr>
            </w:pPr>
          </w:p>
        </w:tc>
        <w:tc>
          <w:tcPr>
            <w:tcW w:w="850" w:type="dxa"/>
            <w:noWrap w:val="0"/>
            <w:vAlign w:val="center"/>
          </w:tcPr>
          <w:p w14:paraId="41458E4A">
            <w:pPr>
              <w:jc w:val="center"/>
              <w:rPr>
                <w:rFonts w:ascii="宋体" w:hAnsi="宋体"/>
              </w:rPr>
            </w:pPr>
            <w:r>
              <w:rPr>
                <w:rFonts w:ascii="宋体" w:hAnsi="宋体"/>
                <w:color w:val="000000"/>
              </w:rPr>
              <w:t>性别</w:t>
            </w:r>
          </w:p>
        </w:tc>
        <w:tc>
          <w:tcPr>
            <w:tcW w:w="850" w:type="dxa"/>
            <w:noWrap w:val="0"/>
            <w:vAlign w:val="center"/>
          </w:tcPr>
          <w:p w14:paraId="6EA194D4">
            <w:pPr>
              <w:jc w:val="center"/>
              <w:rPr>
                <w:rFonts w:ascii="宋体" w:hAnsi="宋体"/>
                <w:color w:val="000000"/>
              </w:rPr>
            </w:pPr>
          </w:p>
        </w:tc>
        <w:tc>
          <w:tcPr>
            <w:tcW w:w="850" w:type="dxa"/>
            <w:noWrap w:val="0"/>
            <w:vAlign w:val="center"/>
          </w:tcPr>
          <w:p w14:paraId="5911885D">
            <w:pPr>
              <w:jc w:val="center"/>
              <w:rPr>
                <w:rFonts w:ascii="宋体" w:hAnsi="宋体"/>
                <w:color w:val="000000"/>
              </w:rPr>
            </w:pPr>
            <w:r>
              <w:rPr>
                <w:rFonts w:hint="eastAsia" w:ascii="宋体" w:hAnsi="宋体"/>
                <w:color w:val="000000"/>
              </w:rPr>
              <w:t>民</w:t>
            </w:r>
            <w:r>
              <w:rPr>
                <w:rFonts w:ascii="宋体" w:hAnsi="宋体"/>
                <w:color w:val="000000"/>
              </w:rPr>
              <w:t>族</w:t>
            </w:r>
          </w:p>
        </w:tc>
        <w:tc>
          <w:tcPr>
            <w:tcW w:w="852" w:type="dxa"/>
            <w:noWrap w:val="0"/>
            <w:vAlign w:val="center"/>
          </w:tcPr>
          <w:p w14:paraId="6F6BAC17">
            <w:pPr>
              <w:jc w:val="center"/>
              <w:rPr>
                <w:rFonts w:ascii="宋体" w:hAnsi="宋体"/>
                <w:color w:val="000000"/>
              </w:rPr>
            </w:pPr>
          </w:p>
        </w:tc>
        <w:tc>
          <w:tcPr>
            <w:tcW w:w="1104" w:type="dxa"/>
            <w:noWrap w:val="0"/>
            <w:vAlign w:val="center"/>
          </w:tcPr>
          <w:p w14:paraId="13D5A3B0">
            <w:pPr>
              <w:jc w:val="center"/>
              <w:rPr>
                <w:rFonts w:ascii="宋体" w:hAnsi="宋体"/>
              </w:rPr>
            </w:pPr>
            <w:r>
              <w:rPr>
                <w:rFonts w:hint="eastAsia" w:ascii="宋体" w:hAnsi="宋体"/>
              </w:rPr>
              <w:t>出生年月</w:t>
            </w:r>
          </w:p>
        </w:tc>
        <w:tc>
          <w:tcPr>
            <w:tcW w:w="2313" w:type="dxa"/>
            <w:gridSpan w:val="2"/>
            <w:noWrap w:val="0"/>
            <w:vAlign w:val="center"/>
          </w:tcPr>
          <w:p w14:paraId="30303E2F">
            <w:pPr>
              <w:jc w:val="center"/>
              <w:rPr>
                <w:rFonts w:ascii="宋体" w:hAnsi="宋体"/>
              </w:rPr>
            </w:pPr>
          </w:p>
        </w:tc>
      </w:tr>
      <w:tr w14:paraId="7948D880">
        <w:trPr>
          <w:trHeight w:val="528" w:hRule="atLeast"/>
          <w:jc w:val="center"/>
        </w:trPr>
        <w:tc>
          <w:tcPr>
            <w:tcW w:w="1271" w:type="dxa"/>
            <w:noWrap w:val="0"/>
            <w:vAlign w:val="center"/>
          </w:tcPr>
          <w:p w14:paraId="597171FC">
            <w:pPr>
              <w:jc w:val="center"/>
              <w:rPr>
                <w:rFonts w:ascii="宋体" w:hAnsi="宋体"/>
              </w:rPr>
            </w:pPr>
            <w:r>
              <w:rPr>
                <w:rFonts w:hint="eastAsia" w:ascii="宋体" w:hAnsi="宋体"/>
              </w:rPr>
              <w:t>行政职务</w:t>
            </w:r>
          </w:p>
        </w:tc>
        <w:tc>
          <w:tcPr>
            <w:tcW w:w="1843" w:type="dxa"/>
            <w:gridSpan w:val="2"/>
            <w:noWrap w:val="0"/>
            <w:vAlign w:val="center"/>
          </w:tcPr>
          <w:p w14:paraId="6AE15902">
            <w:pPr>
              <w:jc w:val="center"/>
              <w:rPr>
                <w:rFonts w:ascii="宋体" w:hAnsi="宋体"/>
              </w:rPr>
            </w:pPr>
          </w:p>
        </w:tc>
        <w:tc>
          <w:tcPr>
            <w:tcW w:w="1700" w:type="dxa"/>
            <w:gridSpan w:val="2"/>
            <w:noWrap w:val="0"/>
            <w:vAlign w:val="center"/>
          </w:tcPr>
          <w:p w14:paraId="06B25CF0">
            <w:pPr>
              <w:jc w:val="center"/>
              <w:rPr>
                <w:rFonts w:ascii="宋体" w:hAnsi="宋体"/>
              </w:rPr>
            </w:pPr>
            <w:r>
              <w:rPr>
                <w:rFonts w:hint="eastAsia" w:ascii="宋体" w:hAnsi="宋体"/>
              </w:rPr>
              <w:t>专业职称</w:t>
            </w:r>
          </w:p>
        </w:tc>
        <w:tc>
          <w:tcPr>
            <w:tcW w:w="1702" w:type="dxa"/>
            <w:gridSpan w:val="2"/>
            <w:noWrap w:val="0"/>
            <w:vAlign w:val="center"/>
          </w:tcPr>
          <w:p w14:paraId="78CBB3CB">
            <w:pPr>
              <w:jc w:val="center"/>
              <w:rPr>
                <w:rFonts w:ascii="宋体" w:hAnsi="宋体"/>
              </w:rPr>
            </w:pPr>
          </w:p>
        </w:tc>
        <w:tc>
          <w:tcPr>
            <w:tcW w:w="1104" w:type="dxa"/>
            <w:noWrap w:val="0"/>
            <w:vAlign w:val="center"/>
          </w:tcPr>
          <w:p w14:paraId="0323CDA4">
            <w:pPr>
              <w:jc w:val="center"/>
              <w:rPr>
                <w:rFonts w:hint="eastAsia" w:ascii="宋体" w:hAnsi="宋体" w:eastAsia="宋体"/>
                <w:lang w:eastAsia="zh-CN"/>
              </w:rPr>
            </w:pPr>
            <w:r>
              <w:rPr>
                <w:rFonts w:hint="eastAsia" w:ascii="宋体" w:hAnsi="宋体"/>
              </w:rPr>
              <w:t>研究</w:t>
            </w:r>
            <w:r>
              <w:rPr>
                <w:rFonts w:hint="eastAsia" w:ascii="宋体" w:hAnsi="宋体"/>
                <w:lang w:val="en-US" w:eastAsia="zh-CN"/>
              </w:rPr>
              <w:t>方向</w:t>
            </w:r>
          </w:p>
        </w:tc>
        <w:tc>
          <w:tcPr>
            <w:tcW w:w="2313" w:type="dxa"/>
            <w:gridSpan w:val="2"/>
            <w:noWrap w:val="0"/>
            <w:vAlign w:val="center"/>
          </w:tcPr>
          <w:p w14:paraId="3CBA7971">
            <w:pPr>
              <w:jc w:val="center"/>
              <w:rPr>
                <w:rFonts w:ascii="宋体" w:hAnsi="宋体"/>
              </w:rPr>
            </w:pPr>
          </w:p>
        </w:tc>
      </w:tr>
      <w:tr w14:paraId="073F9B83">
        <w:trPr>
          <w:trHeight w:val="462" w:hRule="atLeast"/>
          <w:jc w:val="center"/>
        </w:trPr>
        <w:tc>
          <w:tcPr>
            <w:tcW w:w="1271" w:type="dxa"/>
            <w:tcBorders>
              <w:top w:val="nil"/>
            </w:tcBorders>
            <w:noWrap w:val="0"/>
            <w:vAlign w:val="center"/>
          </w:tcPr>
          <w:p w14:paraId="58C063F5">
            <w:pPr>
              <w:jc w:val="center"/>
              <w:rPr>
                <w:rFonts w:ascii="宋体" w:hAnsi="宋体"/>
              </w:rPr>
            </w:pPr>
            <w:r>
              <w:rPr>
                <w:rFonts w:hint="eastAsia" w:ascii="宋体" w:hAnsi="宋体"/>
              </w:rPr>
              <w:t>最后学历</w:t>
            </w:r>
          </w:p>
        </w:tc>
        <w:tc>
          <w:tcPr>
            <w:tcW w:w="1843" w:type="dxa"/>
            <w:gridSpan w:val="2"/>
            <w:tcBorders>
              <w:top w:val="nil"/>
            </w:tcBorders>
            <w:noWrap w:val="0"/>
            <w:vAlign w:val="center"/>
          </w:tcPr>
          <w:p w14:paraId="6442EC82">
            <w:pPr>
              <w:jc w:val="center"/>
              <w:rPr>
                <w:rFonts w:ascii="宋体" w:hAnsi="宋体"/>
              </w:rPr>
            </w:pPr>
          </w:p>
        </w:tc>
        <w:tc>
          <w:tcPr>
            <w:tcW w:w="1700" w:type="dxa"/>
            <w:gridSpan w:val="2"/>
            <w:tcBorders>
              <w:top w:val="nil"/>
            </w:tcBorders>
            <w:noWrap w:val="0"/>
            <w:vAlign w:val="center"/>
          </w:tcPr>
          <w:p w14:paraId="786337F5">
            <w:pPr>
              <w:jc w:val="center"/>
              <w:rPr>
                <w:rFonts w:ascii="宋体" w:hAnsi="宋体"/>
              </w:rPr>
            </w:pPr>
            <w:r>
              <w:rPr>
                <w:rFonts w:hint="eastAsia" w:ascii="宋体" w:hAnsi="宋体"/>
              </w:rPr>
              <w:t>最后学位</w:t>
            </w:r>
          </w:p>
        </w:tc>
        <w:tc>
          <w:tcPr>
            <w:tcW w:w="1702" w:type="dxa"/>
            <w:gridSpan w:val="2"/>
            <w:tcBorders>
              <w:top w:val="nil"/>
            </w:tcBorders>
            <w:noWrap w:val="0"/>
            <w:vAlign w:val="center"/>
          </w:tcPr>
          <w:p w14:paraId="6953DA80">
            <w:pPr>
              <w:jc w:val="center"/>
              <w:rPr>
                <w:rFonts w:ascii="宋体" w:hAnsi="宋体"/>
              </w:rPr>
            </w:pPr>
          </w:p>
        </w:tc>
        <w:tc>
          <w:tcPr>
            <w:tcW w:w="1104" w:type="dxa"/>
            <w:tcBorders>
              <w:top w:val="nil"/>
            </w:tcBorders>
            <w:noWrap w:val="0"/>
            <w:vAlign w:val="center"/>
          </w:tcPr>
          <w:p w14:paraId="0AFFE4FD">
            <w:pPr>
              <w:jc w:val="center"/>
              <w:rPr>
                <w:rFonts w:ascii="宋体" w:hAnsi="宋体"/>
              </w:rPr>
            </w:pPr>
            <w:r>
              <w:rPr>
                <w:rFonts w:hint="eastAsia" w:ascii="宋体" w:hAnsi="宋体"/>
              </w:rPr>
              <w:t>联系电话</w:t>
            </w:r>
          </w:p>
        </w:tc>
        <w:tc>
          <w:tcPr>
            <w:tcW w:w="2313" w:type="dxa"/>
            <w:gridSpan w:val="2"/>
            <w:tcBorders>
              <w:top w:val="nil"/>
            </w:tcBorders>
            <w:noWrap w:val="0"/>
            <w:vAlign w:val="center"/>
          </w:tcPr>
          <w:p w14:paraId="37B539F6">
            <w:pPr>
              <w:jc w:val="center"/>
              <w:rPr>
                <w:rFonts w:ascii="宋体" w:hAnsi="宋体"/>
              </w:rPr>
            </w:pPr>
          </w:p>
        </w:tc>
      </w:tr>
      <w:tr w14:paraId="04F35A9A">
        <w:trPr>
          <w:trHeight w:val="467" w:hRule="atLeast"/>
          <w:jc w:val="center"/>
        </w:trPr>
        <w:tc>
          <w:tcPr>
            <w:tcW w:w="1271" w:type="dxa"/>
            <w:noWrap w:val="0"/>
            <w:vAlign w:val="center"/>
          </w:tcPr>
          <w:p w14:paraId="7F5D01EC">
            <w:pPr>
              <w:jc w:val="center"/>
              <w:rPr>
                <w:rFonts w:ascii="宋体" w:hAnsi="宋体"/>
              </w:rPr>
            </w:pPr>
            <w:r>
              <w:rPr>
                <w:rFonts w:hint="eastAsia" w:ascii="宋体" w:hAnsi="宋体"/>
              </w:rPr>
              <w:t>工作单位</w:t>
            </w:r>
          </w:p>
        </w:tc>
        <w:tc>
          <w:tcPr>
            <w:tcW w:w="5245" w:type="dxa"/>
            <w:gridSpan w:val="6"/>
            <w:noWrap w:val="0"/>
            <w:vAlign w:val="center"/>
          </w:tcPr>
          <w:p w14:paraId="798703E4">
            <w:pPr>
              <w:rPr>
                <w:rFonts w:ascii="宋体" w:hAnsi="宋体"/>
              </w:rPr>
            </w:pPr>
          </w:p>
        </w:tc>
        <w:tc>
          <w:tcPr>
            <w:tcW w:w="1104" w:type="dxa"/>
            <w:noWrap w:val="0"/>
            <w:vAlign w:val="center"/>
          </w:tcPr>
          <w:p w14:paraId="7282A2D1">
            <w:pPr>
              <w:jc w:val="center"/>
              <w:rPr>
                <w:rFonts w:ascii="宋体" w:hAnsi="宋体"/>
              </w:rPr>
            </w:pPr>
            <w:r>
              <w:rPr>
                <w:rFonts w:hint="eastAsia" w:ascii="宋体" w:hAnsi="宋体"/>
              </w:rPr>
              <w:t>电子信箱</w:t>
            </w:r>
          </w:p>
        </w:tc>
        <w:tc>
          <w:tcPr>
            <w:tcW w:w="2313" w:type="dxa"/>
            <w:gridSpan w:val="2"/>
            <w:noWrap w:val="0"/>
            <w:vAlign w:val="center"/>
          </w:tcPr>
          <w:p w14:paraId="61C39AD6">
            <w:pPr>
              <w:jc w:val="center"/>
              <w:rPr>
                <w:rFonts w:ascii="宋体" w:hAnsi="宋体"/>
              </w:rPr>
            </w:pPr>
          </w:p>
        </w:tc>
      </w:tr>
      <w:tr w14:paraId="0B40792E">
        <w:trPr>
          <w:trHeight w:val="445" w:hRule="atLeast"/>
          <w:jc w:val="center"/>
        </w:trPr>
        <w:tc>
          <w:tcPr>
            <w:tcW w:w="1271" w:type="dxa"/>
            <w:noWrap w:val="0"/>
            <w:vAlign w:val="center"/>
          </w:tcPr>
          <w:p w14:paraId="0B8B5A11">
            <w:pPr>
              <w:jc w:val="center"/>
              <w:rPr>
                <w:rFonts w:ascii="宋体" w:hAnsi="宋体"/>
              </w:rPr>
            </w:pPr>
            <w:r>
              <w:rPr>
                <w:rFonts w:hint="eastAsia" w:ascii="宋体" w:hAnsi="宋体"/>
              </w:rPr>
              <w:t>通讯地址</w:t>
            </w:r>
          </w:p>
        </w:tc>
        <w:tc>
          <w:tcPr>
            <w:tcW w:w="5245" w:type="dxa"/>
            <w:gridSpan w:val="6"/>
            <w:noWrap w:val="0"/>
            <w:vAlign w:val="center"/>
          </w:tcPr>
          <w:p w14:paraId="64D1E851">
            <w:pPr>
              <w:rPr>
                <w:rFonts w:ascii="宋体" w:hAnsi="宋体"/>
              </w:rPr>
            </w:pPr>
          </w:p>
        </w:tc>
        <w:tc>
          <w:tcPr>
            <w:tcW w:w="1104" w:type="dxa"/>
            <w:noWrap w:val="0"/>
            <w:vAlign w:val="center"/>
          </w:tcPr>
          <w:p w14:paraId="7E03127C">
            <w:pPr>
              <w:jc w:val="center"/>
              <w:rPr>
                <w:rFonts w:ascii="宋体" w:hAnsi="宋体"/>
              </w:rPr>
            </w:pPr>
            <w:r>
              <w:rPr>
                <w:rFonts w:hint="eastAsia" w:ascii="宋体" w:hAnsi="宋体"/>
              </w:rPr>
              <w:t>邮政编码</w:t>
            </w:r>
          </w:p>
        </w:tc>
        <w:tc>
          <w:tcPr>
            <w:tcW w:w="2313" w:type="dxa"/>
            <w:gridSpan w:val="2"/>
            <w:noWrap w:val="0"/>
            <w:vAlign w:val="center"/>
          </w:tcPr>
          <w:p w14:paraId="4DCD1BF8">
            <w:pPr>
              <w:jc w:val="center"/>
              <w:rPr>
                <w:rFonts w:ascii="宋体" w:hAnsi="宋体"/>
              </w:rPr>
            </w:pPr>
          </w:p>
        </w:tc>
      </w:tr>
      <w:tr w14:paraId="39030AC9">
        <w:trPr>
          <w:trHeight w:val="445" w:hRule="atLeast"/>
          <w:jc w:val="center"/>
        </w:trPr>
        <w:tc>
          <w:tcPr>
            <w:tcW w:w="9933" w:type="dxa"/>
            <w:gridSpan w:val="10"/>
            <w:noWrap w:val="0"/>
            <w:vAlign w:val="center"/>
          </w:tcPr>
          <w:p w14:paraId="5E7AAB2E">
            <w:pPr>
              <w:jc w:val="center"/>
              <w:rPr>
                <w:rFonts w:ascii="宋体" w:hAnsi="宋体"/>
              </w:rPr>
            </w:pPr>
            <w:r>
              <w:rPr>
                <w:rFonts w:ascii="宋体" w:hAnsi="宋体"/>
              </w:rPr>
              <w:t>主要参与者(</w:t>
            </w:r>
            <w:r>
              <w:rPr>
                <w:rFonts w:hint="eastAsia" w:ascii="宋体" w:hAnsi="宋体"/>
              </w:rPr>
              <w:t>限10人</w:t>
            </w:r>
            <w:r>
              <w:rPr>
                <w:rFonts w:ascii="宋体" w:hAnsi="宋体"/>
              </w:rPr>
              <w:t>)</w:t>
            </w:r>
          </w:p>
        </w:tc>
      </w:tr>
      <w:tr w14:paraId="49CBA12A">
        <w:trPr>
          <w:trHeight w:val="4243" w:hRule="atLeast"/>
          <w:jc w:val="center"/>
        </w:trPr>
        <w:tc>
          <w:tcPr>
            <w:tcW w:w="9933" w:type="dxa"/>
            <w:gridSpan w:val="10"/>
            <w:noWrap w:val="0"/>
            <w:vAlign w:val="center"/>
          </w:tcPr>
          <w:tbl>
            <w:tblPr>
              <w:tblStyle w:val="11"/>
              <w:tblW w:w="10600" w:type="dxa"/>
              <w:tblInd w:w="-1"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1325"/>
              <w:gridCol w:w="1325"/>
              <w:gridCol w:w="1325"/>
              <w:gridCol w:w="1325"/>
              <w:gridCol w:w="1132"/>
              <w:gridCol w:w="1069"/>
              <w:gridCol w:w="1275"/>
              <w:gridCol w:w="1824"/>
            </w:tblGrid>
            <w:tr w14:paraId="0087C8CB">
              <w:tc>
                <w:tcPr>
                  <w:tcW w:w="1325" w:type="dxa"/>
                  <w:shd w:val="clear" w:color="auto" w:fill="CCCCCC"/>
                  <w:noWrap w:val="0"/>
                  <w:vAlign w:val="top"/>
                </w:tcPr>
                <w:p w14:paraId="03C396BF">
                  <w:r>
                    <w:t>姓名</w:t>
                  </w:r>
                </w:p>
              </w:tc>
              <w:tc>
                <w:tcPr>
                  <w:tcW w:w="1325" w:type="dxa"/>
                  <w:shd w:val="clear" w:color="auto" w:fill="CCCCCC"/>
                  <w:noWrap w:val="0"/>
                  <w:vAlign w:val="top"/>
                </w:tcPr>
                <w:p w14:paraId="6AC3AEF6">
                  <w:r>
                    <w:t>出生年月</w:t>
                  </w:r>
                </w:p>
              </w:tc>
              <w:tc>
                <w:tcPr>
                  <w:tcW w:w="1325" w:type="dxa"/>
                  <w:shd w:val="clear" w:color="auto" w:fill="CCCCCC"/>
                  <w:noWrap w:val="0"/>
                  <w:vAlign w:val="top"/>
                </w:tcPr>
                <w:p w14:paraId="2DEAE2AA">
                  <w:r>
                    <w:t>职务职称</w:t>
                  </w:r>
                </w:p>
              </w:tc>
              <w:tc>
                <w:tcPr>
                  <w:tcW w:w="1325" w:type="dxa"/>
                  <w:shd w:val="clear" w:color="auto" w:fill="CCCCCC"/>
                  <w:noWrap w:val="0"/>
                  <w:vAlign w:val="top"/>
                </w:tcPr>
                <w:p w14:paraId="71DAEF50">
                  <w:pPr>
                    <w:rPr>
                      <w:rFonts w:hint="eastAsia" w:eastAsia="宋体"/>
                      <w:lang w:val="en-US" w:eastAsia="zh-CN"/>
                    </w:rPr>
                  </w:pPr>
                  <w:r>
                    <w:t>研究</w:t>
                  </w:r>
                  <w:r>
                    <w:rPr>
                      <w:rFonts w:hint="eastAsia"/>
                      <w:lang w:val="en-US" w:eastAsia="zh-CN"/>
                    </w:rPr>
                    <w:t>方向</w:t>
                  </w:r>
                </w:p>
              </w:tc>
              <w:tc>
                <w:tcPr>
                  <w:tcW w:w="1132" w:type="dxa"/>
                  <w:shd w:val="clear" w:color="auto" w:fill="CCCCCC"/>
                  <w:noWrap w:val="0"/>
                  <w:vAlign w:val="top"/>
                </w:tcPr>
                <w:p w14:paraId="539FF41F">
                  <w:r>
                    <w:t>学历</w:t>
                  </w:r>
                </w:p>
              </w:tc>
              <w:tc>
                <w:tcPr>
                  <w:tcW w:w="1069" w:type="dxa"/>
                  <w:shd w:val="clear" w:color="auto" w:fill="CCCCCC"/>
                  <w:noWrap w:val="0"/>
                  <w:vAlign w:val="top"/>
                </w:tcPr>
                <w:p w14:paraId="083B50A0">
                  <w:r>
                    <w:t>学位</w:t>
                  </w:r>
                </w:p>
              </w:tc>
              <w:tc>
                <w:tcPr>
                  <w:tcW w:w="1275" w:type="dxa"/>
                  <w:shd w:val="clear" w:color="auto" w:fill="CCCCCC"/>
                  <w:noWrap w:val="0"/>
                  <w:vAlign w:val="top"/>
                </w:tcPr>
                <w:p w14:paraId="75D46250">
                  <w:r>
                    <w:t>工作单位</w:t>
                  </w:r>
                </w:p>
              </w:tc>
              <w:tc>
                <w:tcPr>
                  <w:tcW w:w="1824" w:type="dxa"/>
                  <w:shd w:val="clear" w:color="auto" w:fill="CCCCCC"/>
                  <w:noWrap w:val="0"/>
                  <w:vAlign w:val="top"/>
                </w:tcPr>
                <w:p w14:paraId="01D8DA72">
                  <w:r>
                    <w:t>联系电话</w:t>
                  </w:r>
                </w:p>
              </w:tc>
            </w:tr>
            <w:tr w14:paraId="64B6CA2A">
              <w:tc>
                <w:tcPr>
                  <w:tcW w:w="1325" w:type="dxa"/>
                  <w:noWrap w:val="0"/>
                  <w:vAlign w:val="top"/>
                </w:tcPr>
                <w:p w14:paraId="65C338E1"/>
              </w:tc>
              <w:tc>
                <w:tcPr>
                  <w:tcW w:w="1325" w:type="dxa"/>
                  <w:noWrap w:val="0"/>
                  <w:vAlign w:val="top"/>
                </w:tcPr>
                <w:p w14:paraId="7D232DB1"/>
              </w:tc>
              <w:tc>
                <w:tcPr>
                  <w:tcW w:w="1325" w:type="dxa"/>
                  <w:noWrap w:val="0"/>
                  <w:vAlign w:val="top"/>
                </w:tcPr>
                <w:p w14:paraId="70F18E87"/>
              </w:tc>
              <w:tc>
                <w:tcPr>
                  <w:tcW w:w="1325" w:type="dxa"/>
                  <w:noWrap w:val="0"/>
                  <w:vAlign w:val="top"/>
                </w:tcPr>
                <w:p w14:paraId="259699EE"/>
              </w:tc>
              <w:tc>
                <w:tcPr>
                  <w:tcW w:w="1132" w:type="dxa"/>
                  <w:noWrap w:val="0"/>
                  <w:vAlign w:val="top"/>
                </w:tcPr>
                <w:p w14:paraId="05650882"/>
              </w:tc>
              <w:tc>
                <w:tcPr>
                  <w:tcW w:w="1069" w:type="dxa"/>
                  <w:noWrap w:val="0"/>
                  <w:vAlign w:val="top"/>
                </w:tcPr>
                <w:p w14:paraId="0FF7C0DC"/>
              </w:tc>
              <w:tc>
                <w:tcPr>
                  <w:tcW w:w="1275" w:type="dxa"/>
                  <w:noWrap w:val="0"/>
                  <w:vAlign w:val="top"/>
                </w:tcPr>
                <w:p w14:paraId="5F59F9A4"/>
              </w:tc>
              <w:tc>
                <w:tcPr>
                  <w:tcW w:w="1824" w:type="dxa"/>
                  <w:noWrap w:val="0"/>
                  <w:vAlign w:val="top"/>
                </w:tcPr>
                <w:p w14:paraId="5F5FD5DE"/>
              </w:tc>
            </w:tr>
            <w:tr w14:paraId="1965B01A">
              <w:tc>
                <w:tcPr>
                  <w:tcW w:w="1325" w:type="dxa"/>
                  <w:noWrap w:val="0"/>
                  <w:vAlign w:val="top"/>
                </w:tcPr>
                <w:p w14:paraId="7219E73D">
                  <w:r>
                    <w:t xml:space="preserve"> </w:t>
                  </w:r>
                </w:p>
              </w:tc>
              <w:tc>
                <w:tcPr>
                  <w:tcW w:w="1325" w:type="dxa"/>
                  <w:noWrap w:val="0"/>
                  <w:vAlign w:val="top"/>
                </w:tcPr>
                <w:p w14:paraId="1F8FB778">
                  <w:r>
                    <w:t xml:space="preserve"> </w:t>
                  </w:r>
                </w:p>
              </w:tc>
              <w:tc>
                <w:tcPr>
                  <w:tcW w:w="1325" w:type="dxa"/>
                  <w:noWrap w:val="0"/>
                  <w:vAlign w:val="top"/>
                </w:tcPr>
                <w:p w14:paraId="1AE3133E">
                  <w:r>
                    <w:t xml:space="preserve"> </w:t>
                  </w:r>
                </w:p>
              </w:tc>
              <w:tc>
                <w:tcPr>
                  <w:tcW w:w="1325" w:type="dxa"/>
                  <w:noWrap w:val="0"/>
                  <w:vAlign w:val="top"/>
                </w:tcPr>
                <w:p w14:paraId="620689CF">
                  <w:r>
                    <w:t xml:space="preserve"> </w:t>
                  </w:r>
                </w:p>
              </w:tc>
              <w:tc>
                <w:tcPr>
                  <w:tcW w:w="1132" w:type="dxa"/>
                  <w:noWrap w:val="0"/>
                  <w:vAlign w:val="top"/>
                </w:tcPr>
                <w:p w14:paraId="6D764697">
                  <w:r>
                    <w:t xml:space="preserve"> </w:t>
                  </w:r>
                </w:p>
              </w:tc>
              <w:tc>
                <w:tcPr>
                  <w:tcW w:w="1069" w:type="dxa"/>
                  <w:noWrap w:val="0"/>
                  <w:vAlign w:val="top"/>
                </w:tcPr>
                <w:p w14:paraId="348B3C20">
                  <w:r>
                    <w:t xml:space="preserve"> </w:t>
                  </w:r>
                </w:p>
              </w:tc>
              <w:tc>
                <w:tcPr>
                  <w:tcW w:w="1275" w:type="dxa"/>
                  <w:noWrap w:val="0"/>
                  <w:vAlign w:val="top"/>
                </w:tcPr>
                <w:p w14:paraId="34CECD32">
                  <w:r>
                    <w:t xml:space="preserve"> </w:t>
                  </w:r>
                </w:p>
              </w:tc>
              <w:tc>
                <w:tcPr>
                  <w:tcW w:w="1824" w:type="dxa"/>
                  <w:noWrap w:val="0"/>
                  <w:vAlign w:val="top"/>
                </w:tcPr>
                <w:p w14:paraId="0E68DEB7">
                  <w:r>
                    <w:t xml:space="preserve"> </w:t>
                  </w:r>
                </w:p>
              </w:tc>
            </w:tr>
            <w:tr w14:paraId="0765E1CE">
              <w:tc>
                <w:tcPr>
                  <w:tcW w:w="1325" w:type="dxa"/>
                  <w:noWrap w:val="0"/>
                  <w:vAlign w:val="top"/>
                </w:tcPr>
                <w:p w14:paraId="51960944">
                  <w:r>
                    <w:t xml:space="preserve"> </w:t>
                  </w:r>
                </w:p>
              </w:tc>
              <w:tc>
                <w:tcPr>
                  <w:tcW w:w="1325" w:type="dxa"/>
                  <w:noWrap w:val="0"/>
                  <w:vAlign w:val="top"/>
                </w:tcPr>
                <w:p w14:paraId="28664BBE">
                  <w:r>
                    <w:t xml:space="preserve"> </w:t>
                  </w:r>
                </w:p>
              </w:tc>
              <w:tc>
                <w:tcPr>
                  <w:tcW w:w="1325" w:type="dxa"/>
                  <w:noWrap w:val="0"/>
                  <w:vAlign w:val="top"/>
                </w:tcPr>
                <w:p w14:paraId="29E00B66">
                  <w:r>
                    <w:t xml:space="preserve"> </w:t>
                  </w:r>
                </w:p>
              </w:tc>
              <w:tc>
                <w:tcPr>
                  <w:tcW w:w="1325" w:type="dxa"/>
                  <w:noWrap w:val="0"/>
                  <w:vAlign w:val="top"/>
                </w:tcPr>
                <w:p w14:paraId="1E525108">
                  <w:r>
                    <w:t xml:space="preserve"> </w:t>
                  </w:r>
                </w:p>
              </w:tc>
              <w:tc>
                <w:tcPr>
                  <w:tcW w:w="1132" w:type="dxa"/>
                  <w:noWrap w:val="0"/>
                  <w:vAlign w:val="top"/>
                </w:tcPr>
                <w:p w14:paraId="3F99A3B2">
                  <w:r>
                    <w:t xml:space="preserve"> </w:t>
                  </w:r>
                </w:p>
              </w:tc>
              <w:tc>
                <w:tcPr>
                  <w:tcW w:w="1069" w:type="dxa"/>
                  <w:noWrap w:val="0"/>
                  <w:vAlign w:val="top"/>
                </w:tcPr>
                <w:p w14:paraId="480418D4">
                  <w:r>
                    <w:t xml:space="preserve"> </w:t>
                  </w:r>
                </w:p>
              </w:tc>
              <w:tc>
                <w:tcPr>
                  <w:tcW w:w="1275" w:type="dxa"/>
                  <w:noWrap w:val="0"/>
                  <w:vAlign w:val="top"/>
                </w:tcPr>
                <w:p w14:paraId="0D3EAAD9">
                  <w:r>
                    <w:t xml:space="preserve"> </w:t>
                  </w:r>
                </w:p>
              </w:tc>
              <w:tc>
                <w:tcPr>
                  <w:tcW w:w="1824" w:type="dxa"/>
                  <w:noWrap w:val="0"/>
                  <w:vAlign w:val="top"/>
                </w:tcPr>
                <w:p w14:paraId="31B3F3F8">
                  <w:r>
                    <w:t xml:space="preserve"> </w:t>
                  </w:r>
                </w:p>
              </w:tc>
            </w:tr>
            <w:tr w14:paraId="45BC9211">
              <w:tc>
                <w:tcPr>
                  <w:tcW w:w="1325" w:type="dxa"/>
                  <w:noWrap w:val="0"/>
                  <w:vAlign w:val="top"/>
                </w:tcPr>
                <w:p w14:paraId="750A7830">
                  <w:r>
                    <w:t xml:space="preserve"> </w:t>
                  </w:r>
                </w:p>
              </w:tc>
              <w:tc>
                <w:tcPr>
                  <w:tcW w:w="1325" w:type="dxa"/>
                  <w:noWrap w:val="0"/>
                  <w:vAlign w:val="top"/>
                </w:tcPr>
                <w:p w14:paraId="10F6E994">
                  <w:r>
                    <w:t xml:space="preserve"> </w:t>
                  </w:r>
                </w:p>
              </w:tc>
              <w:tc>
                <w:tcPr>
                  <w:tcW w:w="1325" w:type="dxa"/>
                  <w:noWrap w:val="0"/>
                  <w:vAlign w:val="top"/>
                </w:tcPr>
                <w:p w14:paraId="73E67870">
                  <w:r>
                    <w:t xml:space="preserve"> </w:t>
                  </w:r>
                </w:p>
              </w:tc>
              <w:tc>
                <w:tcPr>
                  <w:tcW w:w="1325" w:type="dxa"/>
                  <w:noWrap w:val="0"/>
                  <w:vAlign w:val="top"/>
                </w:tcPr>
                <w:p w14:paraId="1E9AC78E">
                  <w:r>
                    <w:t xml:space="preserve"> </w:t>
                  </w:r>
                </w:p>
              </w:tc>
              <w:tc>
                <w:tcPr>
                  <w:tcW w:w="1132" w:type="dxa"/>
                  <w:noWrap w:val="0"/>
                  <w:vAlign w:val="top"/>
                </w:tcPr>
                <w:p w14:paraId="298508C5">
                  <w:r>
                    <w:t xml:space="preserve"> </w:t>
                  </w:r>
                </w:p>
              </w:tc>
              <w:tc>
                <w:tcPr>
                  <w:tcW w:w="1069" w:type="dxa"/>
                  <w:noWrap w:val="0"/>
                  <w:vAlign w:val="top"/>
                </w:tcPr>
                <w:p w14:paraId="02375F20">
                  <w:r>
                    <w:t xml:space="preserve"> </w:t>
                  </w:r>
                </w:p>
              </w:tc>
              <w:tc>
                <w:tcPr>
                  <w:tcW w:w="1275" w:type="dxa"/>
                  <w:noWrap w:val="0"/>
                  <w:vAlign w:val="top"/>
                </w:tcPr>
                <w:p w14:paraId="6DB79FBD">
                  <w:r>
                    <w:t xml:space="preserve"> </w:t>
                  </w:r>
                </w:p>
              </w:tc>
              <w:tc>
                <w:tcPr>
                  <w:tcW w:w="1824" w:type="dxa"/>
                  <w:noWrap w:val="0"/>
                  <w:vAlign w:val="top"/>
                </w:tcPr>
                <w:p w14:paraId="7934E96C">
                  <w:r>
                    <w:t xml:space="preserve"> </w:t>
                  </w:r>
                </w:p>
              </w:tc>
            </w:tr>
            <w:tr w14:paraId="16700D78">
              <w:tc>
                <w:tcPr>
                  <w:tcW w:w="1325" w:type="dxa"/>
                  <w:noWrap w:val="0"/>
                  <w:vAlign w:val="top"/>
                </w:tcPr>
                <w:p w14:paraId="4AE3DAD5">
                  <w:r>
                    <w:t xml:space="preserve"> </w:t>
                  </w:r>
                </w:p>
              </w:tc>
              <w:tc>
                <w:tcPr>
                  <w:tcW w:w="1325" w:type="dxa"/>
                  <w:noWrap w:val="0"/>
                  <w:vAlign w:val="top"/>
                </w:tcPr>
                <w:p w14:paraId="0634C135">
                  <w:r>
                    <w:t xml:space="preserve"> </w:t>
                  </w:r>
                </w:p>
              </w:tc>
              <w:tc>
                <w:tcPr>
                  <w:tcW w:w="1325" w:type="dxa"/>
                  <w:noWrap w:val="0"/>
                  <w:vAlign w:val="top"/>
                </w:tcPr>
                <w:p w14:paraId="5577FCF6">
                  <w:r>
                    <w:t xml:space="preserve"> </w:t>
                  </w:r>
                </w:p>
              </w:tc>
              <w:tc>
                <w:tcPr>
                  <w:tcW w:w="1325" w:type="dxa"/>
                  <w:noWrap w:val="0"/>
                  <w:vAlign w:val="top"/>
                </w:tcPr>
                <w:p w14:paraId="3084A314">
                  <w:r>
                    <w:t xml:space="preserve"> </w:t>
                  </w:r>
                </w:p>
              </w:tc>
              <w:tc>
                <w:tcPr>
                  <w:tcW w:w="1132" w:type="dxa"/>
                  <w:noWrap w:val="0"/>
                  <w:vAlign w:val="top"/>
                </w:tcPr>
                <w:p w14:paraId="2BFF0490">
                  <w:r>
                    <w:t xml:space="preserve"> </w:t>
                  </w:r>
                </w:p>
              </w:tc>
              <w:tc>
                <w:tcPr>
                  <w:tcW w:w="1069" w:type="dxa"/>
                  <w:noWrap w:val="0"/>
                  <w:vAlign w:val="top"/>
                </w:tcPr>
                <w:p w14:paraId="5296AA63">
                  <w:r>
                    <w:t xml:space="preserve"> </w:t>
                  </w:r>
                </w:p>
              </w:tc>
              <w:tc>
                <w:tcPr>
                  <w:tcW w:w="1275" w:type="dxa"/>
                  <w:noWrap w:val="0"/>
                  <w:vAlign w:val="top"/>
                </w:tcPr>
                <w:p w14:paraId="55C1D8F8">
                  <w:r>
                    <w:t xml:space="preserve"> </w:t>
                  </w:r>
                </w:p>
              </w:tc>
              <w:tc>
                <w:tcPr>
                  <w:tcW w:w="1824" w:type="dxa"/>
                  <w:noWrap w:val="0"/>
                  <w:vAlign w:val="top"/>
                </w:tcPr>
                <w:p w14:paraId="39AB28CA">
                  <w:r>
                    <w:t xml:space="preserve"> </w:t>
                  </w:r>
                </w:p>
              </w:tc>
            </w:tr>
            <w:tr w14:paraId="2EB3E0DC">
              <w:tc>
                <w:tcPr>
                  <w:tcW w:w="1325" w:type="dxa"/>
                  <w:noWrap w:val="0"/>
                  <w:vAlign w:val="top"/>
                </w:tcPr>
                <w:p w14:paraId="3B9E3F3D">
                  <w:r>
                    <w:t xml:space="preserve"> </w:t>
                  </w:r>
                </w:p>
              </w:tc>
              <w:tc>
                <w:tcPr>
                  <w:tcW w:w="1325" w:type="dxa"/>
                  <w:noWrap w:val="0"/>
                  <w:vAlign w:val="top"/>
                </w:tcPr>
                <w:p w14:paraId="4B9CD550">
                  <w:r>
                    <w:t xml:space="preserve"> </w:t>
                  </w:r>
                </w:p>
              </w:tc>
              <w:tc>
                <w:tcPr>
                  <w:tcW w:w="1325" w:type="dxa"/>
                  <w:noWrap w:val="0"/>
                  <w:vAlign w:val="top"/>
                </w:tcPr>
                <w:p w14:paraId="46705F3B">
                  <w:r>
                    <w:t xml:space="preserve"> </w:t>
                  </w:r>
                </w:p>
              </w:tc>
              <w:tc>
                <w:tcPr>
                  <w:tcW w:w="1325" w:type="dxa"/>
                  <w:noWrap w:val="0"/>
                  <w:vAlign w:val="top"/>
                </w:tcPr>
                <w:p w14:paraId="78FDDED5">
                  <w:r>
                    <w:t xml:space="preserve"> </w:t>
                  </w:r>
                </w:p>
              </w:tc>
              <w:tc>
                <w:tcPr>
                  <w:tcW w:w="1132" w:type="dxa"/>
                  <w:noWrap w:val="0"/>
                  <w:vAlign w:val="top"/>
                </w:tcPr>
                <w:p w14:paraId="1B5AF74C">
                  <w:r>
                    <w:t xml:space="preserve"> </w:t>
                  </w:r>
                </w:p>
              </w:tc>
              <w:tc>
                <w:tcPr>
                  <w:tcW w:w="1069" w:type="dxa"/>
                  <w:noWrap w:val="0"/>
                  <w:vAlign w:val="top"/>
                </w:tcPr>
                <w:p w14:paraId="0D247F7E">
                  <w:r>
                    <w:t xml:space="preserve"> </w:t>
                  </w:r>
                </w:p>
              </w:tc>
              <w:tc>
                <w:tcPr>
                  <w:tcW w:w="1275" w:type="dxa"/>
                  <w:noWrap w:val="0"/>
                  <w:vAlign w:val="top"/>
                </w:tcPr>
                <w:p w14:paraId="437FD914">
                  <w:r>
                    <w:t xml:space="preserve"> </w:t>
                  </w:r>
                </w:p>
              </w:tc>
              <w:tc>
                <w:tcPr>
                  <w:tcW w:w="1824" w:type="dxa"/>
                  <w:noWrap w:val="0"/>
                  <w:vAlign w:val="top"/>
                </w:tcPr>
                <w:p w14:paraId="11450BE5">
                  <w:r>
                    <w:t xml:space="preserve"> </w:t>
                  </w:r>
                </w:p>
              </w:tc>
            </w:tr>
            <w:tr w14:paraId="04996120">
              <w:tc>
                <w:tcPr>
                  <w:tcW w:w="1325" w:type="dxa"/>
                  <w:noWrap w:val="0"/>
                  <w:vAlign w:val="top"/>
                </w:tcPr>
                <w:p w14:paraId="44FD827D">
                  <w:r>
                    <w:t xml:space="preserve"> </w:t>
                  </w:r>
                </w:p>
              </w:tc>
              <w:tc>
                <w:tcPr>
                  <w:tcW w:w="1325" w:type="dxa"/>
                  <w:noWrap w:val="0"/>
                  <w:vAlign w:val="top"/>
                </w:tcPr>
                <w:p w14:paraId="1F5EA792">
                  <w:r>
                    <w:t xml:space="preserve"> </w:t>
                  </w:r>
                </w:p>
              </w:tc>
              <w:tc>
                <w:tcPr>
                  <w:tcW w:w="1325" w:type="dxa"/>
                  <w:noWrap w:val="0"/>
                  <w:vAlign w:val="top"/>
                </w:tcPr>
                <w:p w14:paraId="7E63F6AD">
                  <w:r>
                    <w:t xml:space="preserve"> </w:t>
                  </w:r>
                </w:p>
              </w:tc>
              <w:tc>
                <w:tcPr>
                  <w:tcW w:w="1325" w:type="dxa"/>
                  <w:noWrap w:val="0"/>
                  <w:vAlign w:val="top"/>
                </w:tcPr>
                <w:p w14:paraId="64333140">
                  <w:r>
                    <w:t xml:space="preserve"> </w:t>
                  </w:r>
                </w:p>
              </w:tc>
              <w:tc>
                <w:tcPr>
                  <w:tcW w:w="1132" w:type="dxa"/>
                  <w:noWrap w:val="0"/>
                  <w:vAlign w:val="top"/>
                </w:tcPr>
                <w:p w14:paraId="3B34BC38">
                  <w:r>
                    <w:t xml:space="preserve"> </w:t>
                  </w:r>
                </w:p>
              </w:tc>
              <w:tc>
                <w:tcPr>
                  <w:tcW w:w="1069" w:type="dxa"/>
                  <w:noWrap w:val="0"/>
                  <w:vAlign w:val="top"/>
                </w:tcPr>
                <w:p w14:paraId="63EFD421">
                  <w:r>
                    <w:t xml:space="preserve"> </w:t>
                  </w:r>
                </w:p>
              </w:tc>
              <w:tc>
                <w:tcPr>
                  <w:tcW w:w="1275" w:type="dxa"/>
                  <w:noWrap w:val="0"/>
                  <w:vAlign w:val="top"/>
                </w:tcPr>
                <w:p w14:paraId="3DE7ABC8">
                  <w:r>
                    <w:t xml:space="preserve"> </w:t>
                  </w:r>
                </w:p>
              </w:tc>
              <w:tc>
                <w:tcPr>
                  <w:tcW w:w="1824" w:type="dxa"/>
                  <w:noWrap w:val="0"/>
                  <w:vAlign w:val="top"/>
                </w:tcPr>
                <w:p w14:paraId="7574A3E4">
                  <w:r>
                    <w:t xml:space="preserve"> </w:t>
                  </w:r>
                </w:p>
              </w:tc>
            </w:tr>
            <w:tr w14:paraId="361FCADD">
              <w:tc>
                <w:tcPr>
                  <w:tcW w:w="1325" w:type="dxa"/>
                  <w:noWrap w:val="0"/>
                  <w:vAlign w:val="top"/>
                </w:tcPr>
                <w:p w14:paraId="3C98FEE9">
                  <w:r>
                    <w:t xml:space="preserve"> </w:t>
                  </w:r>
                </w:p>
              </w:tc>
              <w:tc>
                <w:tcPr>
                  <w:tcW w:w="1325" w:type="dxa"/>
                  <w:noWrap w:val="0"/>
                  <w:vAlign w:val="top"/>
                </w:tcPr>
                <w:p w14:paraId="5EEE69D1">
                  <w:r>
                    <w:t xml:space="preserve"> </w:t>
                  </w:r>
                </w:p>
              </w:tc>
              <w:tc>
                <w:tcPr>
                  <w:tcW w:w="1325" w:type="dxa"/>
                  <w:noWrap w:val="0"/>
                  <w:vAlign w:val="top"/>
                </w:tcPr>
                <w:p w14:paraId="1480E628">
                  <w:r>
                    <w:t xml:space="preserve"> </w:t>
                  </w:r>
                </w:p>
              </w:tc>
              <w:tc>
                <w:tcPr>
                  <w:tcW w:w="1325" w:type="dxa"/>
                  <w:noWrap w:val="0"/>
                  <w:vAlign w:val="top"/>
                </w:tcPr>
                <w:p w14:paraId="541F490F">
                  <w:r>
                    <w:t xml:space="preserve"> </w:t>
                  </w:r>
                </w:p>
              </w:tc>
              <w:tc>
                <w:tcPr>
                  <w:tcW w:w="1132" w:type="dxa"/>
                  <w:noWrap w:val="0"/>
                  <w:vAlign w:val="top"/>
                </w:tcPr>
                <w:p w14:paraId="3A0DCD55">
                  <w:r>
                    <w:t xml:space="preserve"> </w:t>
                  </w:r>
                </w:p>
              </w:tc>
              <w:tc>
                <w:tcPr>
                  <w:tcW w:w="1069" w:type="dxa"/>
                  <w:noWrap w:val="0"/>
                  <w:vAlign w:val="top"/>
                </w:tcPr>
                <w:p w14:paraId="463A7796">
                  <w:r>
                    <w:t xml:space="preserve"> </w:t>
                  </w:r>
                </w:p>
              </w:tc>
              <w:tc>
                <w:tcPr>
                  <w:tcW w:w="1275" w:type="dxa"/>
                  <w:noWrap w:val="0"/>
                  <w:vAlign w:val="top"/>
                </w:tcPr>
                <w:p w14:paraId="6A2EDF4A">
                  <w:r>
                    <w:t xml:space="preserve"> </w:t>
                  </w:r>
                </w:p>
              </w:tc>
              <w:tc>
                <w:tcPr>
                  <w:tcW w:w="1824" w:type="dxa"/>
                  <w:noWrap w:val="0"/>
                  <w:vAlign w:val="top"/>
                </w:tcPr>
                <w:p w14:paraId="7CBEB35E">
                  <w:r>
                    <w:t xml:space="preserve"> </w:t>
                  </w:r>
                </w:p>
              </w:tc>
            </w:tr>
            <w:tr w14:paraId="501BB7C4">
              <w:tc>
                <w:tcPr>
                  <w:tcW w:w="1325" w:type="dxa"/>
                  <w:noWrap w:val="0"/>
                  <w:vAlign w:val="top"/>
                </w:tcPr>
                <w:p w14:paraId="5E6A6D88">
                  <w:r>
                    <w:t xml:space="preserve"> </w:t>
                  </w:r>
                </w:p>
              </w:tc>
              <w:tc>
                <w:tcPr>
                  <w:tcW w:w="1325" w:type="dxa"/>
                  <w:noWrap w:val="0"/>
                  <w:vAlign w:val="top"/>
                </w:tcPr>
                <w:p w14:paraId="3D708A53">
                  <w:r>
                    <w:t xml:space="preserve"> </w:t>
                  </w:r>
                </w:p>
              </w:tc>
              <w:tc>
                <w:tcPr>
                  <w:tcW w:w="1325" w:type="dxa"/>
                  <w:noWrap w:val="0"/>
                  <w:vAlign w:val="top"/>
                </w:tcPr>
                <w:p w14:paraId="31730DCD">
                  <w:r>
                    <w:t xml:space="preserve"> </w:t>
                  </w:r>
                </w:p>
              </w:tc>
              <w:tc>
                <w:tcPr>
                  <w:tcW w:w="1325" w:type="dxa"/>
                  <w:noWrap w:val="0"/>
                  <w:vAlign w:val="top"/>
                </w:tcPr>
                <w:p w14:paraId="3F5CB0DD">
                  <w:r>
                    <w:t xml:space="preserve"> </w:t>
                  </w:r>
                </w:p>
              </w:tc>
              <w:tc>
                <w:tcPr>
                  <w:tcW w:w="1132" w:type="dxa"/>
                  <w:noWrap w:val="0"/>
                  <w:vAlign w:val="top"/>
                </w:tcPr>
                <w:p w14:paraId="304DA56A">
                  <w:r>
                    <w:t xml:space="preserve"> </w:t>
                  </w:r>
                </w:p>
              </w:tc>
              <w:tc>
                <w:tcPr>
                  <w:tcW w:w="1069" w:type="dxa"/>
                  <w:noWrap w:val="0"/>
                  <w:vAlign w:val="top"/>
                </w:tcPr>
                <w:p w14:paraId="7391A83F">
                  <w:r>
                    <w:t xml:space="preserve"> </w:t>
                  </w:r>
                </w:p>
              </w:tc>
              <w:tc>
                <w:tcPr>
                  <w:tcW w:w="1275" w:type="dxa"/>
                  <w:noWrap w:val="0"/>
                  <w:vAlign w:val="top"/>
                </w:tcPr>
                <w:p w14:paraId="57B6D44A">
                  <w:r>
                    <w:t xml:space="preserve"> </w:t>
                  </w:r>
                </w:p>
              </w:tc>
              <w:tc>
                <w:tcPr>
                  <w:tcW w:w="1824" w:type="dxa"/>
                  <w:noWrap w:val="0"/>
                  <w:vAlign w:val="top"/>
                </w:tcPr>
                <w:p w14:paraId="67A9B16C">
                  <w:r>
                    <w:t xml:space="preserve"> </w:t>
                  </w:r>
                </w:p>
              </w:tc>
            </w:tr>
            <w:tr w14:paraId="72A952E8">
              <w:tc>
                <w:tcPr>
                  <w:tcW w:w="1325" w:type="dxa"/>
                  <w:noWrap w:val="0"/>
                  <w:vAlign w:val="top"/>
                </w:tcPr>
                <w:p w14:paraId="01BD2A74">
                  <w:r>
                    <w:t xml:space="preserve"> </w:t>
                  </w:r>
                </w:p>
              </w:tc>
              <w:tc>
                <w:tcPr>
                  <w:tcW w:w="1325" w:type="dxa"/>
                  <w:noWrap w:val="0"/>
                  <w:vAlign w:val="top"/>
                </w:tcPr>
                <w:p w14:paraId="005EB360">
                  <w:r>
                    <w:t xml:space="preserve"> </w:t>
                  </w:r>
                </w:p>
              </w:tc>
              <w:tc>
                <w:tcPr>
                  <w:tcW w:w="1325" w:type="dxa"/>
                  <w:noWrap w:val="0"/>
                  <w:vAlign w:val="top"/>
                </w:tcPr>
                <w:p w14:paraId="19981BB5">
                  <w:r>
                    <w:t xml:space="preserve"> </w:t>
                  </w:r>
                </w:p>
              </w:tc>
              <w:tc>
                <w:tcPr>
                  <w:tcW w:w="1325" w:type="dxa"/>
                  <w:noWrap w:val="0"/>
                  <w:vAlign w:val="top"/>
                </w:tcPr>
                <w:p w14:paraId="535D43C0">
                  <w:r>
                    <w:t xml:space="preserve"> </w:t>
                  </w:r>
                </w:p>
              </w:tc>
              <w:tc>
                <w:tcPr>
                  <w:tcW w:w="1132" w:type="dxa"/>
                  <w:noWrap w:val="0"/>
                  <w:vAlign w:val="top"/>
                </w:tcPr>
                <w:p w14:paraId="41ED3160">
                  <w:r>
                    <w:t xml:space="preserve"> </w:t>
                  </w:r>
                </w:p>
              </w:tc>
              <w:tc>
                <w:tcPr>
                  <w:tcW w:w="1069" w:type="dxa"/>
                  <w:noWrap w:val="0"/>
                  <w:vAlign w:val="top"/>
                </w:tcPr>
                <w:p w14:paraId="12F28585">
                  <w:r>
                    <w:t xml:space="preserve"> </w:t>
                  </w:r>
                </w:p>
              </w:tc>
              <w:tc>
                <w:tcPr>
                  <w:tcW w:w="1275" w:type="dxa"/>
                  <w:noWrap w:val="0"/>
                  <w:vAlign w:val="top"/>
                </w:tcPr>
                <w:p w14:paraId="0E12C7D4">
                  <w:r>
                    <w:t xml:space="preserve"> </w:t>
                  </w:r>
                </w:p>
              </w:tc>
              <w:tc>
                <w:tcPr>
                  <w:tcW w:w="1824" w:type="dxa"/>
                  <w:noWrap w:val="0"/>
                  <w:vAlign w:val="top"/>
                </w:tcPr>
                <w:p w14:paraId="46EA9F31">
                  <w:r>
                    <w:t xml:space="preserve"> </w:t>
                  </w:r>
                </w:p>
              </w:tc>
            </w:tr>
          </w:tbl>
          <w:p w14:paraId="50638E97">
            <w:pPr>
              <w:rPr>
                <w:rFonts w:ascii="宋体" w:hAnsi="宋体"/>
                <w:szCs w:val="21"/>
              </w:rPr>
            </w:pPr>
          </w:p>
        </w:tc>
      </w:tr>
      <w:tr w14:paraId="439A734C">
        <w:trPr>
          <w:trHeight w:val="466" w:hRule="atLeast"/>
          <w:jc w:val="center"/>
        </w:trPr>
        <w:tc>
          <w:tcPr>
            <w:tcW w:w="1540" w:type="dxa"/>
            <w:gridSpan w:val="2"/>
            <w:noWrap w:val="0"/>
            <w:vAlign w:val="center"/>
          </w:tcPr>
          <w:p w14:paraId="4C6085FF">
            <w:pPr>
              <w:jc w:val="center"/>
              <w:rPr>
                <w:rFonts w:ascii="宋体" w:hAnsi="宋体"/>
              </w:rPr>
            </w:pPr>
            <w:r>
              <w:rPr>
                <w:rFonts w:hint="eastAsia" w:ascii="宋体" w:hAnsi="宋体"/>
              </w:rPr>
              <w:t>预期成果</w:t>
            </w:r>
          </w:p>
        </w:tc>
        <w:tc>
          <w:tcPr>
            <w:tcW w:w="6080" w:type="dxa"/>
            <w:gridSpan w:val="6"/>
            <w:noWrap w:val="0"/>
            <w:vAlign w:val="center"/>
          </w:tcPr>
          <w:p w14:paraId="09494548">
            <w:pPr>
              <w:jc w:val="center"/>
              <w:rPr>
                <w:rFonts w:ascii="宋体" w:hAnsi="宋体"/>
              </w:rPr>
            </w:pPr>
            <w:r>
              <w:rPr>
                <w:rFonts w:hint="eastAsia" w:ascii="宋体" w:hAnsi="宋体"/>
                <w:lang w:val="en-US" w:eastAsia="zh-CN"/>
              </w:rPr>
              <w:t xml:space="preserve"> </w:t>
            </w:r>
          </w:p>
        </w:tc>
        <w:tc>
          <w:tcPr>
            <w:tcW w:w="739" w:type="dxa"/>
            <w:noWrap w:val="0"/>
            <w:vAlign w:val="center"/>
          </w:tcPr>
          <w:p w14:paraId="44F4D224">
            <w:pPr>
              <w:jc w:val="center"/>
              <w:rPr>
                <w:rFonts w:ascii="宋体" w:hAnsi="宋体"/>
              </w:rPr>
            </w:pPr>
            <w:r>
              <w:rPr>
                <w:rFonts w:hint="eastAsia" w:ascii="宋体" w:hAnsi="宋体"/>
              </w:rPr>
              <w:t>字数</w:t>
            </w:r>
          </w:p>
        </w:tc>
        <w:tc>
          <w:tcPr>
            <w:tcW w:w="1574" w:type="dxa"/>
            <w:noWrap w:val="0"/>
            <w:vAlign w:val="center"/>
          </w:tcPr>
          <w:p w14:paraId="2E40E086">
            <w:pPr>
              <w:jc w:val="center"/>
              <w:rPr>
                <w:rFonts w:ascii="宋体" w:hAnsi="宋体"/>
              </w:rPr>
            </w:pPr>
            <w:r>
              <w:rPr>
                <w:rFonts w:hint="eastAsia" w:ascii="宋体" w:hAnsi="宋体"/>
              </w:rPr>
              <w:t xml:space="preserve"> 千字</w:t>
            </w:r>
          </w:p>
        </w:tc>
      </w:tr>
      <w:tr w14:paraId="170ECE10">
        <w:trPr>
          <w:trHeight w:val="458" w:hRule="atLeast"/>
          <w:jc w:val="center"/>
        </w:trPr>
        <w:tc>
          <w:tcPr>
            <w:tcW w:w="1540" w:type="dxa"/>
            <w:gridSpan w:val="2"/>
            <w:noWrap w:val="0"/>
            <w:vAlign w:val="center"/>
          </w:tcPr>
          <w:p w14:paraId="25B64EB5">
            <w:pPr>
              <w:jc w:val="both"/>
              <w:rPr>
                <w:rFonts w:ascii="宋体" w:hAnsi="宋体"/>
              </w:rPr>
            </w:pPr>
            <w:r>
              <w:rPr>
                <w:rFonts w:hint="eastAsia" w:ascii="宋体" w:hAnsi="宋体"/>
              </w:rPr>
              <w:t>预计完成时间</w:t>
            </w:r>
          </w:p>
        </w:tc>
        <w:tc>
          <w:tcPr>
            <w:tcW w:w="8393" w:type="dxa"/>
            <w:gridSpan w:val="8"/>
            <w:noWrap w:val="0"/>
            <w:vAlign w:val="center"/>
          </w:tcPr>
          <w:p w14:paraId="45193C29">
            <w:pPr>
              <w:jc w:val="center"/>
              <w:rPr>
                <w:rFonts w:ascii="宋体" w:hAnsi="宋体"/>
              </w:rPr>
            </w:pPr>
            <w:r>
              <w:rPr>
                <w:rFonts w:hint="eastAsia" w:ascii="宋体" w:hAnsi="宋体"/>
              </w:rPr>
              <w:t xml:space="preserve">       </w:t>
            </w:r>
            <w:r>
              <w:rPr>
                <w:rFonts w:ascii="宋体" w:hAnsi="宋体"/>
                <w:color w:val="000000"/>
              </w:rPr>
              <w:t>年</w:t>
            </w:r>
            <w:r>
              <w:rPr>
                <w:rFonts w:hint="eastAsia" w:ascii="宋体" w:hAnsi="宋体"/>
                <w:color w:val="000000"/>
              </w:rPr>
              <w:t xml:space="preserve">  </w:t>
            </w:r>
            <w:r>
              <w:rPr>
                <w:rFonts w:ascii="宋体" w:hAnsi="宋体"/>
                <w:color w:val="000000"/>
              </w:rPr>
              <w:t>月</w:t>
            </w:r>
            <w:r>
              <w:rPr>
                <w:rFonts w:hint="eastAsia" w:ascii="宋体" w:hAnsi="宋体"/>
                <w:color w:val="000000"/>
              </w:rPr>
              <w:t xml:space="preserve">  </w:t>
            </w:r>
            <w:r>
              <w:rPr>
                <w:rFonts w:ascii="宋体" w:hAnsi="宋体"/>
                <w:color w:val="000000"/>
              </w:rPr>
              <w:t>日</w:t>
            </w:r>
          </w:p>
        </w:tc>
      </w:tr>
    </w:tbl>
    <w:p w14:paraId="684FACB5">
      <w:pPr>
        <w:rPr>
          <w:rFonts w:ascii="Times New Roman" w:hAnsi="Times New Roman" w:cs="Times New Roman"/>
        </w:rPr>
        <w:sectPr>
          <w:pgSz w:w="11900" w:h="16840"/>
          <w:pgMar w:top="1600" w:right="1200" w:bottom="1120" w:left="1560" w:header="0" w:footer="935" w:gutter="0"/>
          <w:cols w:space="720" w:num="1"/>
        </w:sectPr>
      </w:pPr>
    </w:p>
    <w:p w14:paraId="519AE2E4">
      <w:pPr>
        <w:pStyle w:val="4"/>
        <w:spacing w:before="4"/>
        <w:rPr>
          <w:rFonts w:ascii="Times New Roman" w:hAnsi="Times New Roman" w:cs="Times New Roman"/>
          <w:sz w:val="13"/>
        </w:rPr>
      </w:pPr>
    </w:p>
    <w:p w14:paraId="5D0139DC">
      <w:pPr>
        <w:numPr>
          <w:ilvl w:val="0"/>
          <w:numId w:val="1"/>
        </w:numPr>
        <w:ind w:left="0" w:leftChars="0" w:firstLine="0" w:firstLineChars="0"/>
        <w:outlineLvl w:val="0"/>
        <w:rPr>
          <w:rFonts w:hint="eastAsia" w:ascii="宋体"/>
          <w:sz w:val="24"/>
        </w:rPr>
      </w:pPr>
      <w:r>
        <w:rPr>
          <w:rFonts w:hint="eastAsia" w:eastAsia="黑体"/>
          <w:sz w:val="30"/>
        </w:rPr>
        <w:t>课题设计论证</w:t>
      </w:r>
      <w:r>
        <w:rPr>
          <w:rFonts w:hint="eastAsia" w:ascii="宋体"/>
          <w:sz w:val="24"/>
        </w:rPr>
        <w:t>（不超过5000字）</w:t>
      </w:r>
    </w:p>
    <w:tbl>
      <w:tblPr>
        <w:tblStyle w:val="11"/>
        <w:tblW w:w="937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379"/>
      </w:tblGrid>
      <w:tr w14:paraId="3803F806">
        <w:trPr>
          <w:trHeight w:val="10639" w:hRule="atLeast"/>
          <w:jc w:val="center"/>
        </w:trPr>
        <w:tc>
          <w:tcPr>
            <w:tcW w:w="9379" w:type="dxa"/>
            <w:noWrap w:val="0"/>
            <w:vAlign w:val="top"/>
          </w:tcPr>
          <w:p w14:paraId="5D8A3C22">
            <w:pPr>
              <w:spacing w:before="156" w:beforeLines="50" w:line="400" w:lineRule="exact"/>
              <w:ind w:firstLine="381" w:firstLineChars="159"/>
              <w:rPr>
                <w:rFonts w:ascii="宋体"/>
                <w:sz w:val="24"/>
              </w:rPr>
            </w:pPr>
            <w:r>
              <w:rPr>
                <w:rFonts w:hint="eastAsia" w:ascii="宋体"/>
                <w:sz w:val="24"/>
              </w:rPr>
              <w:t xml:space="preserve">1. </w:t>
            </w:r>
            <w:r>
              <w:rPr>
                <w:rFonts w:hint="eastAsia" w:ascii="宋体"/>
                <w:b/>
                <w:sz w:val="24"/>
              </w:rPr>
              <w:t>[选题依据]</w:t>
            </w:r>
            <w:r>
              <w:rPr>
                <w:rFonts w:hint="eastAsia" w:ascii="宋体"/>
                <w:sz w:val="24"/>
              </w:rPr>
              <w:t xml:space="preserve">  国内外相关研究的学术史梳理及研究动态；本课题相对于已有研究的独到学术价值和应用价值等。</w:t>
            </w:r>
          </w:p>
          <w:p w14:paraId="40761A53">
            <w:pPr>
              <w:tabs>
                <w:tab w:val="left" w:pos="2107"/>
              </w:tabs>
              <w:spacing w:line="400" w:lineRule="exact"/>
              <w:ind w:firstLine="381" w:firstLineChars="159"/>
              <w:rPr>
                <w:rFonts w:ascii="宋体"/>
                <w:sz w:val="24"/>
              </w:rPr>
            </w:pPr>
            <w:r>
              <w:rPr>
                <w:rFonts w:hint="eastAsia" w:ascii="宋体"/>
                <w:sz w:val="24"/>
              </w:rPr>
              <w:t xml:space="preserve">2. </w:t>
            </w:r>
            <w:r>
              <w:rPr>
                <w:rFonts w:hint="eastAsia" w:ascii="宋体"/>
                <w:b/>
                <w:sz w:val="24"/>
              </w:rPr>
              <w:t xml:space="preserve">[研究内容]  </w:t>
            </w:r>
            <w:r>
              <w:rPr>
                <w:rFonts w:hint="eastAsia" w:ascii="宋体"/>
                <w:sz w:val="24"/>
              </w:rPr>
              <w:t>本课题的</w:t>
            </w:r>
            <w:r>
              <w:rPr>
                <w:rFonts w:hint="eastAsia" w:ascii="宋体"/>
                <w:sz w:val="24"/>
                <w:lang w:val="en-US" w:eastAsia="zh-CN"/>
              </w:rPr>
              <w:t>概念界定</w:t>
            </w:r>
            <w:r>
              <w:rPr>
                <w:rFonts w:hint="eastAsia" w:ascii="宋体"/>
                <w:sz w:val="24"/>
              </w:rPr>
              <w:t>、总体框架、重点难点、主要目标等。</w:t>
            </w:r>
          </w:p>
          <w:p w14:paraId="17997435">
            <w:pPr>
              <w:spacing w:line="400" w:lineRule="exact"/>
              <w:ind w:firstLine="381" w:firstLineChars="159"/>
              <w:rPr>
                <w:rFonts w:ascii="宋体"/>
                <w:sz w:val="24"/>
              </w:rPr>
            </w:pPr>
            <w:r>
              <w:rPr>
                <w:rFonts w:hint="eastAsia" w:ascii="宋体"/>
                <w:sz w:val="24"/>
              </w:rPr>
              <w:t>3．</w:t>
            </w:r>
            <w:r>
              <w:rPr>
                <w:rFonts w:hint="eastAsia" w:ascii="宋体"/>
                <w:b/>
                <w:sz w:val="24"/>
              </w:rPr>
              <w:t xml:space="preserve">[思路方法]  </w:t>
            </w:r>
            <w:r>
              <w:rPr>
                <w:rFonts w:hint="eastAsia" w:ascii="宋体"/>
                <w:sz w:val="24"/>
              </w:rPr>
              <w:t>本课题研究的基本思路、具体研究方法、研究计划及其可行性等。</w:t>
            </w:r>
          </w:p>
          <w:p w14:paraId="40B17DBA">
            <w:pPr>
              <w:spacing w:line="400" w:lineRule="exact"/>
              <w:ind w:firstLine="381" w:firstLineChars="159"/>
              <w:rPr>
                <w:rFonts w:ascii="宋体"/>
                <w:sz w:val="24"/>
              </w:rPr>
            </w:pPr>
            <w:r>
              <w:rPr>
                <w:rFonts w:hint="eastAsia" w:ascii="宋体"/>
                <w:sz w:val="24"/>
              </w:rPr>
              <w:t>4．</w:t>
            </w:r>
            <w:r>
              <w:rPr>
                <w:rFonts w:hint="eastAsia" w:ascii="宋体"/>
                <w:b/>
                <w:sz w:val="24"/>
              </w:rPr>
              <w:t xml:space="preserve">[创新之处]  </w:t>
            </w:r>
            <w:r>
              <w:rPr>
                <w:rFonts w:hint="eastAsia" w:ascii="宋体"/>
                <w:sz w:val="24"/>
              </w:rPr>
              <w:t>在学术思想、学术观点、研究方法等方面的特色和创新。</w:t>
            </w:r>
          </w:p>
          <w:p w14:paraId="4B507E9D">
            <w:pPr>
              <w:spacing w:line="400" w:lineRule="exact"/>
              <w:ind w:firstLine="381" w:firstLineChars="159"/>
              <w:rPr>
                <w:rFonts w:ascii="宋体"/>
                <w:sz w:val="24"/>
              </w:rPr>
            </w:pPr>
            <w:r>
              <w:rPr>
                <w:rFonts w:hint="eastAsia" w:ascii="宋体"/>
                <w:sz w:val="24"/>
              </w:rPr>
              <w:t>5．</w:t>
            </w:r>
            <w:r>
              <w:rPr>
                <w:rFonts w:hint="eastAsia" w:ascii="宋体"/>
                <w:b/>
                <w:sz w:val="24"/>
              </w:rPr>
              <w:t xml:space="preserve">[预期成果]  </w:t>
            </w:r>
            <w:r>
              <w:rPr>
                <w:rFonts w:hint="eastAsia" w:ascii="宋体"/>
                <w:sz w:val="24"/>
              </w:rPr>
              <w:t>成果形式、使用去向及预期社会效益等（必须包含一份研究报告）。</w:t>
            </w:r>
          </w:p>
          <w:p w14:paraId="4BE5843D">
            <w:pPr>
              <w:spacing w:line="400" w:lineRule="exact"/>
              <w:ind w:firstLine="381" w:firstLineChars="159"/>
              <w:rPr>
                <w:rFonts w:ascii="宋体"/>
                <w:sz w:val="24"/>
              </w:rPr>
            </w:pPr>
            <w:r>
              <w:rPr>
                <w:rFonts w:hint="eastAsia" w:ascii="宋体"/>
                <w:sz w:val="24"/>
              </w:rPr>
              <w:t>6．</w:t>
            </w:r>
            <w:r>
              <w:rPr>
                <w:rFonts w:hint="eastAsia" w:ascii="宋体"/>
                <w:b/>
                <w:sz w:val="24"/>
              </w:rPr>
              <w:t xml:space="preserve">[参考文献]  </w:t>
            </w:r>
            <w:r>
              <w:rPr>
                <w:rFonts w:hint="eastAsia" w:ascii="宋体"/>
                <w:sz w:val="24"/>
              </w:rPr>
              <w:t>开展本课题研究的主要中外参考文献。</w:t>
            </w:r>
          </w:p>
        </w:tc>
      </w:tr>
    </w:tbl>
    <w:p w14:paraId="2A077B0C">
      <w:pPr>
        <w:numPr>
          <w:ilvl w:val="0"/>
          <w:numId w:val="0"/>
        </w:numPr>
        <w:ind w:leftChars="0"/>
        <w:outlineLvl w:val="0"/>
        <w:rPr>
          <w:rFonts w:hint="eastAsia" w:ascii="宋体"/>
          <w:sz w:val="24"/>
        </w:rPr>
      </w:pPr>
    </w:p>
    <w:p w14:paraId="11A2279D">
      <w:pPr>
        <w:rPr>
          <w:rFonts w:ascii="楷体_GB2312" w:eastAsia="楷体_GB2312"/>
        </w:rPr>
      </w:pPr>
      <w:r>
        <w:rPr>
          <w:rFonts w:hint="eastAsia" w:ascii="楷体_GB2312" w:eastAsia="楷体_GB2312"/>
          <w:szCs w:val="21"/>
        </w:rPr>
        <w:t>注：</w:t>
      </w:r>
      <w:r>
        <w:rPr>
          <w:rFonts w:hint="eastAsia" w:ascii="楷体_GB2312" w:eastAsia="楷体_GB2312"/>
        </w:rPr>
        <w:t>前期相关研究成果中的成果名称、成果形式（如论文、专著、研究报告等）、成果数量要与《课题论证》活页相同，活页中不能填写的成果作者、发表刊物或出版社名称、发表或出版时间等信息要在本表中加以注明。与本课题研究无关的成果不能填写</w:t>
      </w:r>
      <w:r>
        <w:rPr>
          <w:rFonts w:hint="eastAsia" w:ascii="楷体_GB2312" w:eastAsia="楷体_GB2312"/>
          <w:lang w:eastAsia="zh-CN"/>
        </w:rPr>
        <w:t>；</w:t>
      </w:r>
      <w:r>
        <w:rPr>
          <w:rFonts w:hint="eastAsia" w:ascii="楷体_GB2312" w:eastAsia="楷体_GB2312"/>
        </w:rPr>
        <w:t>课题负责人和参加者的成果要分开填写。课题负责人的成果不列入参考文献。</w:t>
      </w:r>
    </w:p>
    <w:p w14:paraId="2B16D547">
      <w:pPr>
        <w:rPr>
          <w:rFonts w:ascii="Times New Roman" w:hAnsi="Times New Roman" w:cs="Times New Roman"/>
          <w:sz w:val="21"/>
        </w:rPr>
        <w:sectPr>
          <w:pgSz w:w="11900" w:h="16840"/>
          <w:pgMar w:top="1600" w:right="1200" w:bottom="1120" w:left="1560" w:header="0" w:footer="935" w:gutter="0"/>
          <w:cols w:space="720" w:num="1"/>
        </w:sectPr>
      </w:pPr>
    </w:p>
    <w:p w14:paraId="0B8DE5D2">
      <w:pPr>
        <w:pStyle w:val="4"/>
        <w:spacing w:before="4"/>
        <w:rPr>
          <w:rFonts w:ascii="Times New Roman" w:hAnsi="Times New Roman" w:cs="Times New Roman"/>
          <w:sz w:val="13"/>
        </w:rPr>
      </w:pPr>
    </w:p>
    <w:p w14:paraId="53C91082">
      <w:pPr>
        <w:outlineLvl w:val="0"/>
        <w:rPr>
          <w:rFonts w:eastAsia="黑体"/>
          <w:sz w:val="30"/>
        </w:rPr>
      </w:pPr>
      <w:r>
        <w:rPr>
          <w:rFonts w:hint="eastAsia" w:eastAsia="黑体"/>
          <w:sz w:val="30"/>
        </w:rPr>
        <w:t>三、完成项目的条件和保证</w:t>
      </w:r>
    </w:p>
    <w:p w14:paraId="70ECD1C2">
      <w:pPr>
        <w:rPr>
          <w:rFonts w:ascii="Times New Roman" w:hAnsi="Times New Roman" w:cs="Times New Roman"/>
          <w:sz w:val="21"/>
        </w:rPr>
      </w:pPr>
    </w:p>
    <w:tbl>
      <w:tblPr>
        <w:tblStyle w:val="11"/>
        <w:tblW w:w="961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617"/>
      </w:tblGrid>
      <w:tr w14:paraId="0532512C">
        <w:trPr>
          <w:trHeight w:val="12401" w:hRule="atLeast"/>
          <w:jc w:val="center"/>
        </w:trPr>
        <w:tc>
          <w:tcPr>
            <w:tcW w:w="9617" w:type="dxa"/>
            <w:noWrap w:val="0"/>
            <w:vAlign w:val="top"/>
          </w:tcPr>
          <w:p w14:paraId="39B65592">
            <w:pPr>
              <w:spacing w:before="156" w:beforeLines="50" w:line="400" w:lineRule="exact"/>
              <w:ind w:left="74" w:right="74" w:firstLine="391"/>
              <w:jc w:val="left"/>
              <w:rPr>
                <w:rFonts w:ascii="宋体"/>
                <w:sz w:val="24"/>
              </w:rPr>
            </w:pPr>
            <w:r>
              <w:rPr>
                <w:rFonts w:hint="eastAsia" w:ascii="宋体"/>
                <w:sz w:val="24"/>
              </w:rPr>
              <w:t>1．</w:t>
            </w:r>
            <w:r>
              <w:rPr>
                <w:rFonts w:hint="eastAsia" w:ascii="宋体"/>
                <w:b/>
                <w:sz w:val="24"/>
              </w:rPr>
              <w:t>[学术简历]</w:t>
            </w:r>
            <w:r>
              <w:rPr>
                <w:rFonts w:hint="eastAsia" w:ascii="宋体"/>
                <w:sz w:val="24"/>
              </w:rPr>
              <w:t xml:space="preserve">  课题负责人的主要学术简历、学术兼职，在相关研究领域的学术积累和贡献等。</w:t>
            </w:r>
          </w:p>
          <w:p w14:paraId="43F3883A">
            <w:pPr>
              <w:spacing w:line="400" w:lineRule="exact"/>
              <w:ind w:left="74" w:right="74" w:firstLine="391"/>
              <w:jc w:val="left"/>
              <w:rPr>
                <w:rFonts w:ascii="宋体"/>
                <w:sz w:val="24"/>
              </w:rPr>
            </w:pPr>
            <w:r>
              <w:rPr>
                <w:rFonts w:hint="eastAsia" w:ascii="宋体"/>
                <w:sz w:val="24"/>
              </w:rPr>
              <w:t>2．</w:t>
            </w:r>
            <w:r>
              <w:rPr>
                <w:rFonts w:hint="eastAsia" w:ascii="宋体"/>
                <w:b/>
                <w:sz w:val="24"/>
              </w:rPr>
              <w:t xml:space="preserve">[研究基础]  </w:t>
            </w:r>
            <w:r>
              <w:rPr>
                <w:rFonts w:hint="eastAsia" w:ascii="宋体"/>
                <w:sz w:val="24"/>
              </w:rPr>
              <w:t xml:space="preserve">课题负责人前期相关研究成果、核心观点及社会评价等。 </w:t>
            </w:r>
          </w:p>
          <w:p w14:paraId="535BA686">
            <w:pPr>
              <w:spacing w:line="400" w:lineRule="exact"/>
              <w:ind w:left="74" w:right="74" w:firstLine="391"/>
              <w:jc w:val="left"/>
              <w:rPr>
                <w:rFonts w:ascii="宋体"/>
                <w:sz w:val="24"/>
              </w:rPr>
            </w:pPr>
            <w:r>
              <w:rPr>
                <w:rFonts w:hint="eastAsia" w:ascii="宋体"/>
                <w:sz w:val="24"/>
              </w:rPr>
              <w:t>3．</w:t>
            </w:r>
            <w:r>
              <w:rPr>
                <w:rFonts w:hint="eastAsia" w:ascii="宋体"/>
                <w:b/>
                <w:sz w:val="24"/>
              </w:rPr>
              <w:t xml:space="preserve">[承担项目]  </w:t>
            </w:r>
            <w:r>
              <w:rPr>
                <w:rFonts w:hint="eastAsia" w:ascii="宋体"/>
                <w:sz w:val="24"/>
              </w:rPr>
              <w:t>负责人承担的各级各类科研项目情况，包括项目名称、资助机构、资助金额、结项情况、研究起止时间等。</w:t>
            </w:r>
          </w:p>
          <w:p w14:paraId="40E8D397">
            <w:pPr>
              <w:spacing w:line="400" w:lineRule="exact"/>
              <w:ind w:left="74" w:right="74" w:firstLine="391"/>
              <w:jc w:val="left"/>
              <w:rPr>
                <w:rFonts w:ascii="宋体"/>
                <w:sz w:val="24"/>
              </w:rPr>
            </w:pPr>
            <w:r>
              <w:rPr>
                <w:rFonts w:hint="eastAsia" w:ascii="宋体"/>
                <w:sz w:val="24"/>
              </w:rPr>
              <w:t>4．</w:t>
            </w:r>
            <w:r>
              <w:rPr>
                <w:rFonts w:hint="eastAsia" w:ascii="宋体"/>
                <w:b/>
                <w:sz w:val="24"/>
              </w:rPr>
              <w:t>[与已承担项目的关系]</w:t>
            </w:r>
            <w:r>
              <w:rPr>
                <w:rFonts w:hint="eastAsia" w:ascii="宋体"/>
                <w:sz w:val="24"/>
              </w:rPr>
              <w:t xml:space="preserve">  凡以各级各类项目或博士学位论文（博士后出站报告）为基础申报的课题，须阐明已承担项目或学位论文（报告）与本课题的联系和区别。</w:t>
            </w:r>
          </w:p>
          <w:p w14:paraId="32E48F2F">
            <w:pPr>
              <w:spacing w:line="400" w:lineRule="exact"/>
              <w:ind w:left="74" w:right="74" w:firstLine="391"/>
              <w:jc w:val="left"/>
              <w:rPr>
                <w:rFonts w:ascii="宋体"/>
                <w:sz w:val="24"/>
              </w:rPr>
            </w:pPr>
            <w:r>
              <w:rPr>
                <w:rFonts w:hint="eastAsia" w:ascii="宋体"/>
                <w:sz w:val="24"/>
              </w:rPr>
              <w:t>5．</w:t>
            </w:r>
            <w:r>
              <w:rPr>
                <w:rFonts w:hint="eastAsia" w:ascii="宋体"/>
                <w:b/>
                <w:sz w:val="24"/>
              </w:rPr>
              <w:t xml:space="preserve">[条件保障]  </w:t>
            </w:r>
            <w:r>
              <w:rPr>
                <w:rFonts w:hint="eastAsia" w:ascii="宋体"/>
                <w:sz w:val="24"/>
              </w:rPr>
              <w:t>完成本课题研究的时间保证、资料设备等科研条件。</w:t>
            </w:r>
          </w:p>
        </w:tc>
      </w:tr>
    </w:tbl>
    <w:p w14:paraId="604DE2F5">
      <w:pPr>
        <w:rPr>
          <w:rFonts w:ascii="Times New Roman" w:hAnsi="Times New Roman" w:cs="Times New Roman"/>
          <w:sz w:val="21"/>
        </w:rPr>
        <w:sectPr>
          <w:pgSz w:w="11900" w:h="16840"/>
          <w:pgMar w:top="1600" w:right="1200" w:bottom="1200" w:left="1560" w:header="0" w:footer="935" w:gutter="0"/>
          <w:cols w:space="720" w:num="1"/>
        </w:sectPr>
      </w:pPr>
    </w:p>
    <w:p w14:paraId="2E697960">
      <w:pPr>
        <w:rPr>
          <w:rFonts w:ascii="Times New Roman" w:hAnsi="Times New Roman" w:cs="Times New Roman"/>
          <w:sz w:val="21"/>
        </w:rPr>
      </w:pPr>
    </w:p>
    <w:p w14:paraId="13898241">
      <w:pPr>
        <w:widowControl/>
        <w:jc w:val="left"/>
        <w:rPr>
          <w:rFonts w:eastAsia="黑体"/>
          <w:sz w:val="30"/>
        </w:rPr>
      </w:pPr>
      <w:r>
        <w:rPr>
          <w:rFonts w:hint="eastAsia" w:eastAsia="黑体"/>
          <w:sz w:val="30"/>
          <w:lang w:val="en-US" w:eastAsia="zh-CN"/>
        </w:rPr>
        <w:t>四</w:t>
      </w:r>
      <w:r>
        <w:rPr>
          <w:rFonts w:hint="eastAsia" w:eastAsia="黑体"/>
          <w:sz w:val="30"/>
        </w:rPr>
        <w:t>、项目负责人工作单位、课题申报（推荐）单位审核意见</w:t>
      </w:r>
    </w:p>
    <w:p w14:paraId="2DE33FDB">
      <w:pPr>
        <w:rPr>
          <w:rFonts w:ascii="Times New Roman" w:hAnsi="Times New Roman" w:cs="Times New Roman"/>
          <w:sz w:val="21"/>
        </w:rPr>
      </w:pPr>
    </w:p>
    <w:tbl>
      <w:tblPr>
        <w:tblStyle w:val="11"/>
        <w:tblW w:w="900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00"/>
      </w:tblGrid>
      <w:tr w14:paraId="01EF3D3F">
        <w:trPr>
          <w:trHeight w:val="4006" w:hRule="atLeast"/>
          <w:jc w:val="center"/>
        </w:trPr>
        <w:tc>
          <w:tcPr>
            <w:tcW w:w="9000" w:type="dxa"/>
            <w:noWrap w:val="0"/>
            <w:vAlign w:val="top"/>
          </w:tcPr>
          <w:p w14:paraId="06DA07A6">
            <w:pPr>
              <w:pStyle w:val="5"/>
              <w:ind w:firstLine="360"/>
              <w:rPr>
                <w:sz w:val="18"/>
                <w:szCs w:val="18"/>
              </w:rPr>
            </w:pPr>
            <w:r>
              <w:rPr>
                <w:rFonts w:hint="eastAsia"/>
                <w:sz w:val="18"/>
                <w:szCs w:val="18"/>
              </w:rPr>
              <w:t>申请人所填写的内容是否属实；该课题负责人和参加者的政治业务素质是否适合承担本课题的研究工作；本单位能否提供完成本课题所需的时间和条件；本单位是否同意承担本项目的管理和信誉保证。</w:t>
            </w:r>
          </w:p>
          <w:p w14:paraId="3623417A">
            <w:pPr>
              <w:pStyle w:val="5"/>
              <w:ind w:firstLine="0" w:firstLineChars="0"/>
              <w:rPr>
                <w:b/>
                <w:sz w:val="18"/>
                <w:szCs w:val="18"/>
                <w:u w:val="single"/>
              </w:rPr>
            </w:pPr>
            <w:r>
              <w:rPr>
                <w:rFonts w:hint="eastAsia"/>
                <w:b/>
                <w:sz w:val="18"/>
                <w:szCs w:val="18"/>
                <w:u w:val="single"/>
              </w:rPr>
              <w:t>（所在单位及科研管理部门必须严格审查把关，并签署明确意见。）</w:t>
            </w:r>
          </w:p>
          <w:p w14:paraId="7A184CAE">
            <w:pPr>
              <w:ind w:firstLine="420" w:firstLineChars="200"/>
              <w:jc w:val="center"/>
            </w:pPr>
          </w:p>
          <w:p w14:paraId="0A5124EF">
            <w:pPr>
              <w:ind w:firstLine="420" w:firstLineChars="200"/>
              <w:jc w:val="center"/>
            </w:pPr>
          </w:p>
          <w:p w14:paraId="3E2E3B2D">
            <w:pPr>
              <w:ind w:firstLine="420" w:firstLineChars="200"/>
              <w:jc w:val="center"/>
            </w:pPr>
          </w:p>
          <w:p w14:paraId="245D01D2"/>
          <w:p w14:paraId="636E1155">
            <w:pPr>
              <w:ind w:firstLine="420" w:firstLineChars="200"/>
              <w:jc w:val="center"/>
            </w:pPr>
          </w:p>
          <w:p w14:paraId="21C86FF9">
            <w:pPr>
              <w:ind w:firstLine="420" w:firstLineChars="200"/>
            </w:pPr>
            <w:r>
              <w:rPr>
                <w:rFonts w:hint="eastAsia"/>
              </w:rPr>
              <w:t>工作单位科研管理部门公章                     申报（推荐）单位公章</w:t>
            </w:r>
          </w:p>
          <w:p w14:paraId="73DB59ED">
            <w:pPr>
              <w:ind w:firstLine="420" w:firstLineChars="200"/>
            </w:pPr>
          </w:p>
          <w:p w14:paraId="685A2B2E">
            <w:pPr>
              <w:ind w:firstLine="1155" w:firstLineChars="550"/>
            </w:pPr>
            <w:r>
              <w:rPr>
                <w:rFonts w:hint="eastAsia"/>
              </w:rPr>
              <w:t>年   月   日                          单位负责人签名：</w:t>
            </w:r>
          </w:p>
          <w:p w14:paraId="42BADF10">
            <w:pPr>
              <w:wordWrap w:val="0"/>
              <w:spacing w:line="360" w:lineRule="auto"/>
              <w:ind w:firstLine="420" w:firstLineChars="200"/>
              <w:jc w:val="right"/>
            </w:pPr>
            <w:r>
              <w:rPr>
                <w:rFonts w:hint="eastAsia"/>
              </w:rPr>
              <w:t xml:space="preserve">年    月    日       </w:t>
            </w:r>
          </w:p>
        </w:tc>
      </w:tr>
    </w:tbl>
    <w:p w14:paraId="1A06E32A">
      <w:pPr>
        <w:rPr>
          <w:rFonts w:hint="eastAsia" w:eastAsia="黑体"/>
          <w:sz w:val="30"/>
        </w:rPr>
      </w:pPr>
    </w:p>
    <w:p w14:paraId="2F1D167A">
      <w:pPr>
        <w:numPr>
          <w:ilvl w:val="0"/>
          <w:numId w:val="0"/>
        </w:numPr>
        <w:rPr>
          <w:rFonts w:hint="eastAsia" w:eastAsia="黑体"/>
          <w:sz w:val="30"/>
          <w:lang w:val="en-US" w:eastAsia="zh-CN"/>
        </w:rPr>
      </w:pPr>
      <w:r>
        <w:rPr>
          <w:rFonts w:hint="eastAsia" w:eastAsia="黑体" w:cs="Times New Roman"/>
          <w:kern w:val="2"/>
          <w:sz w:val="30"/>
          <w:szCs w:val="24"/>
          <w:lang w:val="en-US" w:eastAsia="zh-CN" w:bidi="ar-SA"/>
        </w:rPr>
        <w:t>五</w:t>
      </w:r>
      <w:r>
        <w:rPr>
          <w:rFonts w:hint="eastAsia" w:ascii="Times New Roman" w:hAnsi="Times New Roman" w:eastAsia="黑体" w:cs="Times New Roman"/>
          <w:kern w:val="2"/>
          <w:sz w:val="30"/>
          <w:szCs w:val="24"/>
          <w:lang w:val="en-US" w:eastAsia="zh-CN" w:bidi="ar-SA"/>
        </w:rPr>
        <w:t>、</w:t>
      </w:r>
      <w:r>
        <w:rPr>
          <w:rFonts w:hint="eastAsia" w:eastAsia="黑体"/>
          <w:sz w:val="30"/>
        </w:rPr>
        <w:t>湖南省职</w:t>
      </w:r>
      <w:r>
        <w:rPr>
          <w:rFonts w:hint="eastAsia" w:eastAsia="黑体"/>
          <w:sz w:val="30"/>
          <w:lang w:val="en-US"/>
        </w:rPr>
        <w:t>业教育与成人</w:t>
      </w:r>
      <w:r>
        <w:rPr>
          <w:rFonts w:hint="eastAsia" w:eastAsia="黑体"/>
          <w:sz w:val="30"/>
        </w:rPr>
        <w:t>教育学会学术委员</w:t>
      </w:r>
      <w:r>
        <w:rPr>
          <w:rFonts w:hint="eastAsia" w:eastAsia="黑体"/>
          <w:sz w:val="30"/>
          <w:lang w:val="en-US"/>
        </w:rPr>
        <w:t>会</w:t>
      </w:r>
      <w:r>
        <w:rPr>
          <w:rFonts w:hint="eastAsia" w:eastAsia="黑体"/>
          <w:sz w:val="30"/>
          <w:lang w:val="en-US" w:eastAsia="zh-CN"/>
        </w:rPr>
        <w:t>意见</w:t>
      </w:r>
    </w:p>
    <w:p w14:paraId="029260DB">
      <w:pPr>
        <w:widowControl w:val="0"/>
        <w:numPr>
          <w:ilvl w:val="0"/>
          <w:numId w:val="0"/>
        </w:numPr>
        <w:jc w:val="both"/>
        <w:rPr>
          <w:rFonts w:hint="eastAsia" w:eastAsia="黑体"/>
          <w:sz w:val="30"/>
          <w:lang w:val="en-US" w:eastAsia="zh-CN"/>
        </w:rPr>
      </w:pPr>
    </w:p>
    <w:tbl>
      <w:tblPr>
        <w:tblStyle w:val="11"/>
        <w:tblW w:w="900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00"/>
      </w:tblGrid>
      <w:tr w14:paraId="695307E2">
        <w:trPr>
          <w:trHeight w:val="2805" w:hRule="atLeast"/>
          <w:jc w:val="center"/>
        </w:trPr>
        <w:tc>
          <w:tcPr>
            <w:tcW w:w="9000" w:type="dxa"/>
            <w:noWrap w:val="0"/>
            <w:vAlign w:val="top"/>
          </w:tcPr>
          <w:p w14:paraId="11ABBCD7">
            <w:pPr>
              <w:ind w:left="360"/>
              <w:jc w:val="center"/>
              <w:rPr>
                <w:rFonts w:eastAsia="黑体"/>
                <w:sz w:val="30"/>
              </w:rPr>
            </w:pPr>
          </w:p>
          <w:p w14:paraId="4F78BEB7">
            <w:pPr>
              <w:ind w:left="360"/>
              <w:jc w:val="center"/>
              <w:rPr>
                <w:rFonts w:eastAsia="黑体"/>
                <w:sz w:val="30"/>
              </w:rPr>
            </w:pPr>
          </w:p>
          <w:p w14:paraId="1CB298F6">
            <w:pPr>
              <w:ind w:left="360"/>
              <w:jc w:val="center"/>
              <w:rPr>
                <w:rFonts w:eastAsia="黑体"/>
              </w:rPr>
            </w:pPr>
          </w:p>
          <w:p w14:paraId="5367F2AF">
            <w:pPr>
              <w:ind w:left="359" w:leftChars="171" w:firstLine="5880" w:firstLineChars="2800"/>
              <w:jc w:val="center"/>
              <w:rPr>
                <w:rFonts w:eastAsia="黑体"/>
              </w:rPr>
            </w:pPr>
          </w:p>
          <w:p w14:paraId="3A62C6B8">
            <w:pPr>
              <w:ind w:left="359" w:leftChars="171" w:firstLine="5880" w:firstLineChars="2800"/>
              <w:rPr>
                <w:rFonts w:eastAsia="黑体"/>
              </w:rPr>
            </w:pPr>
            <w:r>
              <w:rPr>
                <w:rFonts w:hint="eastAsia" w:eastAsia="黑体"/>
              </w:rPr>
              <w:t>盖  章：</w:t>
            </w:r>
          </w:p>
          <w:p w14:paraId="0EB52B80">
            <w:pPr>
              <w:wordWrap w:val="0"/>
              <w:ind w:left="360" w:right="420"/>
              <w:jc w:val="right"/>
              <w:rPr>
                <w:rFonts w:eastAsia="黑体"/>
              </w:rPr>
            </w:pPr>
            <w:r>
              <w:rPr>
                <w:rFonts w:hint="eastAsia"/>
              </w:rPr>
              <w:t xml:space="preserve">年   月   日  </w:t>
            </w:r>
          </w:p>
        </w:tc>
      </w:tr>
    </w:tbl>
    <w:p w14:paraId="3EB4F465">
      <w:pPr>
        <w:jc w:val="both"/>
        <w:rPr>
          <w:rFonts w:ascii="Times New Roman" w:hAnsi="Times New Roman" w:cs="Times New Roman"/>
          <w:sz w:val="21"/>
        </w:rPr>
        <w:sectPr>
          <w:pgSz w:w="11900" w:h="16840"/>
          <w:pgMar w:top="1440" w:right="1200" w:bottom="1120" w:left="1560" w:header="0" w:footer="935" w:gutter="0"/>
          <w:cols w:space="720" w:num="1"/>
        </w:sectPr>
      </w:pPr>
    </w:p>
    <w:p w14:paraId="3F10A33A">
      <w:pPr>
        <w:rPr>
          <w:rFonts w:ascii="Times New Roman" w:hAnsi="Times New Roman" w:cs="Times New Roman"/>
          <w:sz w:val="20"/>
        </w:rPr>
        <w:sectPr>
          <w:footerReference r:id="rId4" w:type="default"/>
          <w:pgSz w:w="16840" w:h="11900" w:orient="landscape"/>
          <w:pgMar w:top="1100" w:right="1220" w:bottom="280" w:left="1220" w:header="0" w:footer="0" w:gutter="0"/>
          <w:cols w:space="720" w:num="1"/>
        </w:sectPr>
      </w:pPr>
    </w:p>
    <w:p w14:paraId="7C52CE6B">
      <w:pPr>
        <w:pStyle w:val="4"/>
        <w:spacing w:before="41"/>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附件3</w:t>
      </w:r>
    </w:p>
    <w:p w14:paraId="0FC5E3B9">
      <w:pPr>
        <w:pStyle w:val="4"/>
        <w:spacing w:before="2"/>
        <w:rPr>
          <w:rFonts w:ascii="Times New Roman" w:hAnsi="Times New Roman" w:cs="Times New Roman"/>
          <w:sz w:val="32"/>
        </w:rPr>
      </w:pPr>
      <w:r>
        <w:rPr>
          <w:rFonts w:ascii="Times New Roman" w:hAnsi="Times New Roman" w:cs="Times New Roman"/>
        </w:rPr>
        <w:br w:type="column"/>
      </w:r>
    </w:p>
    <w:p w14:paraId="35BDE5A2">
      <w:pPr>
        <w:pStyle w:val="2"/>
        <w:ind w:left="175"/>
        <w:jc w:val="center"/>
        <w:rPr>
          <w:rFonts w:ascii="Times New Roman" w:hAnsi="Times New Roman" w:cs="Times New Roman"/>
        </w:rPr>
      </w:pPr>
      <w:r>
        <w:rPr>
          <w:rFonts w:hint="eastAsia" w:ascii="方正小标宋简体" w:hAnsi="方正小标宋简体" w:eastAsia="方正小标宋简体" w:cs="方正小标宋简体"/>
          <w:b w:val="0"/>
          <w:bCs w:val="0"/>
          <w:lang w:val="en-US" w:eastAsia="zh-CN"/>
        </w:rPr>
        <w:t>2026</w:t>
      </w:r>
      <w:r>
        <w:rPr>
          <w:rFonts w:hint="eastAsia" w:ascii="方正小标宋简体" w:hAnsi="方正小标宋简体" w:eastAsia="方正小标宋简体" w:cs="方正小标宋简体"/>
          <w:b w:val="0"/>
          <w:bCs w:val="0"/>
        </w:rPr>
        <w:t xml:space="preserve"> 年度湖南省职业教育与成人教育学会科研规划课题申报汇总表</w:t>
      </w:r>
    </w:p>
    <w:p w14:paraId="511F3EE2">
      <w:pPr>
        <w:jc w:val="center"/>
        <w:rPr>
          <w:rFonts w:ascii="Times New Roman" w:hAnsi="Times New Roman" w:cs="Times New Roman"/>
        </w:rPr>
        <w:sectPr>
          <w:type w:val="continuous"/>
          <w:pgSz w:w="16840" w:h="11900" w:orient="landscape"/>
          <w:pgMar w:top="1600" w:right="1220" w:bottom="280" w:left="1220" w:header="720" w:footer="720" w:gutter="0"/>
          <w:cols w:equalWidth="0" w:num="2">
            <w:col w:w="1195" w:space="40"/>
            <w:col w:w="13165"/>
          </w:cols>
        </w:sectPr>
      </w:pPr>
    </w:p>
    <w:p w14:paraId="36BC456F">
      <w:pPr>
        <w:tabs>
          <w:tab w:val="left" w:pos="3524"/>
          <w:tab w:val="left" w:pos="7228"/>
          <w:tab w:val="left" w:pos="7583"/>
          <w:tab w:val="left" w:pos="11010"/>
          <w:tab w:val="left" w:pos="11365"/>
          <w:tab w:val="left" w:pos="12961"/>
          <w:tab w:val="left" w:pos="13799"/>
        </w:tabs>
        <w:spacing w:before="132"/>
        <w:ind w:left="301"/>
        <w:rPr>
          <w:rFonts w:ascii="Times New Roman" w:hAnsi="Times New Roman" w:cs="Times New Roman"/>
          <w:sz w:val="28"/>
        </w:rPr>
      </w:pPr>
      <w:r>
        <w:rPr>
          <w:rFonts w:ascii="Times New Roman" w:hAnsi="Times New Roman" w:cs="Times New Roman"/>
          <w:sz w:val="28"/>
        </w:rPr>
        <w:t>推荐单位</w:t>
      </w:r>
      <w:r>
        <w:rPr>
          <w:rFonts w:ascii="Times New Roman" w:hAnsi="Times New Roman" w:cs="Times New Roman"/>
          <w:sz w:val="28"/>
          <w:u w:val="single"/>
        </w:rPr>
        <w:t xml:space="preserve"> </w:t>
      </w:r>
      <w:r>
        <w:rPr>
          <w:rFonts w:ascii="Times New Roman" w:hAnsi="Times New Roman" w:cs="Times New Roman"/>
          <w:sz w:val="28"/>
          <w:u w:val="single"/>
        </w:rPr>
        <w:tab/>
      </w:r>
      <w:r>
        <w:rPr>
          <w:rFonts w:ascii="Times New Roman" w:hAnsi="Times New Roman" w:cs="Times New Roman"/>
          <w:sz w:val="28"/>
          <w:u w:val="single"/>
        </w:rPr>
        <w:t>（</w:t>
      </w:r>
      <w:r>
        <w:rPr>
          <w:rFonts w:ascii="Times New Roman" w:hAnsi="Times New Roman" w:cs="Times New Roman"/>
          <w:spacing w:val="-3"/>
          <w:sz w:val="28"/>
        </w:rPr>
        <w:t>盖</w:t>
      </w:r>
      <w:r>
        <w:rPr>
          <w:rFonts w:ascii="Times New Roman" w:hAnsi="Times New Roman" w:cs="Times New Roman"/>
          <w:sz w:val="28"/>
        </w:rPr>
        <w:t>章）</w:t>
      </w:r>
      <w:r>
        <w:rPr>
          <w:rFonts w:ascii="Times New Roman" w:hAnsi="Times New Roman" w:cs="Times New Roman"/>
          <w:spacing w:val="-2"/>
          <w:sz w:val="28"/>
        </w:rPr>
        <w:t xml:space="preserve"> </w:t>
      </w:r>
      <w:r>
        <w:rPr>
          <w:rFonts w:ascii="Times New Roman" w:hAnsi="Times New Roman" w:cs="Times New Roman"/>
          <w:sz w:val="28"/>
        </w:rPr>
        <w:t>联系人</w:t>
      </w:r>
      <w:r>
        <w:rPr>
          <w:rFonts w:ascii="Times New Roman" w:hAnsi="Times New Roman" w:cs="Times New Roman"/>
          <w:sz w:val="28"/>
          <w:u w:val="single"/>
        </w:rPr>
        <w:t xml:space="preserve"> </w:t>
      </w:r>
      <w:r>
        <w:rPr>
          <w:rFonts w:ascii="Times New Roman" w:hAnsi="Times New Roman" w:cs="Times New Roman"/>
          <w:sz w:val="28"/>
          <w:u w:val="single"/>
        </w:rPr>
        <w:tab/>
      </w:r>
      <w:r>
        <w:rPr>
          <w:rFonts w:ascii="Times New Roman" w:hAnsi="Times New Roman" w:cs="Times New Roman"/>
          <w:sz w:val="28"/>
        </w:rPr>
        <w:tab/>
      </w:r>
      <w:r>
        <w:rPr>
          <w:rFonts w:ascii="Times New Roman" w:hAnsi="Times New Roman" w:cs="Times New Roman"/>
          <w:sz w:val="28"/>
        </w:rPr>
        <w:t>联系电话</w:t>
      </w:r>
      <w:r>
        <w:rPr>
          <w:rFonts w:ascii="Times New Roman" w:hAnsi="Times New Roman" w:cs="Times New Roman"/>
          <w:sz w:val="28"/>
          <w:u w:val="single"/>
        </w:rPr>
        <w:t xml:space="preserve"> </w:t>
      </w:r>
      <w:r>
        <w:rPr>
          <w:rFonts w:ascii="Times New Roman" w:hAnsi="Times New Roman" w:cs="Times New Roman"/>
          <w:sz w:val="28"/>
          <w:u w:val="single"/>
        </w:rPr>
        <w:tab/>
      </w:r>
      <w:r>
        <w:rPr>
          <w:rFonts w:ascii="Times New Roman" w:hAnsi="Times New Roman" w:cs="Times New Roman"/>
          <w:sz w:val="28"/>
        </w:rPr>
        <w:tab/>
      </w:r>
      <w:r>
        <w:rPr>
          <w:rFonts w:hint="eastAsia" w:cs="Times New Roman"/>
          <w:sz w:val="28"/>
          <w:lang w:val="en-US" w:eastAsia="zh-CN"/>
        </w:rPr>
        <w:t xml:space="preserve"> </w:t>
      </w:r>
      <w:r>
        <w:rPr>
          <w:rFonts w:hint="eastAsia" w:cs="Times New Roman"/>
          <w:sz w:val="28"/>
          <w:u w:val="single"/>
          <w:lang w:val="en-US" w:eastAsia="zh-CN"/>
        </w:rPr>
        <w:t xml:space="preserve">     </w:t>
      </w:r>
      <w:r>
        <w:rPr>
          <w:rFonts w:ascii="Times New Roman" w:hAnsi="Times New Roman" w:cs="Times New Roman"/>
          <w:spacing w:val="-84"/>
          <w:sz w:val="28"/>
          <w:u w:val="single"/>
        </w:rPr>
        <w:t xml:space="preserve"> </w:t>
      </w:r>
      <w:r>
        <w:rPr>
          <w:rFonts w:ascii="Times New Roman" w:hAnsi="Times New Roman" w:cs="Times New Roman"/>
          <w:sz w:val="28"/>
        </w:rPr>
        <w:t>年</w:t>
      </w:r>
      <w:r>
        <w:rPr>
          <w:rFonts w:ascii="Times New Roman" w:hAnsi="Times New Roman" w:cs="Times New Roman"/>
          <w:sz w:val="28"/>
          <w:u w:val="single"/>
        </w:rPr>
        <w:t xml:space="preserve"> </w:t>
      </w:r>
      <w:r>
        <w:rPr>
          <w:rFonts w:ascii="Times New Roman" w:hAnsi="Times New Roman" w:cs="Times New Roman"/>
          <w:sz w:val="28"/>
          <w:u w:val="single"/>
        </w:rPr>
        <w:tab/>
      </w:r>
      <w:r>
        <w:rPr>
          <w:rFonts w:ascii="Times New Roman" w:hAnsi="Times New Roman" w:cs="Times New Roman"/>
          <w:sz w:val="28"/>
        </w:rPr>
        <w:t>月</w:t>
      </w:r>
      <w:r>
        <w:rPr>
          <w:rFonts w:ascii="Times New Roman" w:hAnsi="Times New Roman" w:cs="Times New Roman"/>
          <w:sz w:val="28"/>
          <w:u w:val="single"/>
        </w:rPr>
        <w:t xml:space="preserve"> </w:t>
      </w:r>
      <w:r>
        <w:rPr>
          <w:rFonts w:ascii="Times New Roman" w:hAnsi="Times New Roman" w:cs="Times New Roman"/>
          <w:sz w:val="28"/>
          <w:u w:val="single"/>
        </w:rPr>
        <w:tab/>
      </w:r>
      <w:r>
        <w:rPr>
          <w:rFonts w:ascii="Times New Roman" w:hAnsi="Times New Roman" w:cs="Times New Roman"/>
          <w:sz w:val="28"/>
        </w:rPr>
        <w:t>日</w:t>
      </w:r>
    </w:p>
    <w:p w14:paraId="6FC08B4A">
      <w:pPr>
        <w:pStyle w:val="4"/>
        <w:spacing w:before="4"/>
        <w:rPr>
          <w:rFonts w:ascii="Times New Roman" w:hAnsi="Times New Roman" w:cs="Times New Roman"/>
          <w:sz w:val="10"/>
        </w:rPr>
      </w:pPr>
    </w:p>
    <w:tbl>
      <w:tblPr>
        <w:tblStyle w:val="11"/>
        <w:tblW w:w="0" w:type="auto"/>
        <w:tblInd w:w="11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31"/>
        <w:gridCol w:w="3168"/>
        <w:gridCol w:w="1682"/>
        <w:gridCol w:w="3242"/>
        <w:gridCol w:w="1795"/>
        <w:gridCol w:w="1800"/>
        <w:gridCol w:w="1555"/>
      </w:tblGrid>
      <w:tr w14:paraId="74279B3F">
        <w:trPr>
          <w:trHeight w:val="626" w:hRule="atLeast"/>
        </w:trPr>
        <w:tc>
          <w:tcPr>
            <w:tcW w:w="931" w:type="dxa"/>
          </w:tcPr>
          <w:p w14:paraId="48AC792A">
            <w:pPr>
              <w:pStyle w:val="21"/>
              <w:spacing w:before="132"/>
              <w:ind w:left="182"/>
              <w:rPr>
                <w:rFonts w:ascii="Times New Roman" w:hAnsi="Times New Roman" w:cs="Times New Roman"/>
                <w:sz w:val="28"/>
              </w:rPr>
            </w:pPr>
            <w:r>
              <w:rPr>
                <w:rFonts w:ascii="Times New Roman" w:hAnsi="Times New Roman" w:cs="Times New Roman"/>
                <w:sz w:val="28"/>
              </w:rPr>
              <w:t>序号</w:t>
            </w:r>
          </w:p>
        </w:tc>
        <w:tc>
          <w:tcPr>
            <w:tcW w:w="3168" w:type="dxa"/>
          </w:tcPr>
          <w:p w14:paraId="1BB10DA9">
            <w:pPr>
              <w:pStyle w:val="21"/>
              <w:spacing w:before="132"/>
              <w:ind w:left="1022"/>
              <w:rPr>
                <w:rFonts w:ascii="Times New Roman" w:hAnsi="Times New Roman" w:cs="Times New Roman"/>
                <w:sz w:val="28"/>
              </w:rPr>
            </w:pPr>
            <w:r>
              <w:rPr>
                <w:rFonts w:ascii="Times New Roman" w:hAnsi="Times New Roman" w:cs="Times New Roman"/>
                <w:sz w:val="28"/>
              </w:rPr>
              <w:t>课题名称</w:t>
            </w:r>
          </w:p>
        </w:tc>
        <w:tc>
          <w:tcPr>
            <w:tcW w:w="1682" w:type="dxa"/>
          </w:tcPr>
          <w:p w14:paraId="7265D838">
            <w:pPr>
              <w:pStyle w:val="21"/>
              <w:spacing w:before="132"/>
              <w:ind w:left="141"/>
              <w:rPr>
                <w:rFonts w:ascii="Times New Roman" w:hAnsi="Times New Roman" w:cs="Times New Roman"/>
                <w:sz w:val="28"/>
              </w:rPr>
            </w:pPr>
            <w:r>
              <w:rPr>
                <w:rFonts w:ascii="Times New Roman" w:hAnsi="Times New Roman" w:cs="Times New Roman"/>
                <w:sz w:val="28"/>
              </w:rPr>
              <w:t>课题负责人</w:t>
            </w:r>
          </w:p>
        </w:tc>
        <w:tc>
          <w:tcPr>
            <w:tcW w:w="3242" w:type="dxa"/>
          </w:tcPr>
          <w:p w14:paraId="4824D5A7">
            <w:pPr>
              <w:pStyle w:val="21"/>
              <w:spacing w:before="132"/>
              <w:ind w:left="780"/>
              <w:rPr>
                <w:rFonts w:ascii="Times New Roman" w:hAnsi="Times New Roman" w:cs="Times New Roman"/>
                <w:sz w:val="28"/>
              </w:rPr>
            </w:pPr>
            <w:r>
              <w:rPr>
                <w:rFonts w:ascii="Times New Roman" w:hAnsi="Times New Roman" w:cs="Times New Roman"/>
                <w:sz w:val="28"/>
              </w:rPr>
              <w:t>主要研究人员</w:t>
            </w:r>
          </w:p>
        </w:tc>
        <w:tc>
          <w:tcPr>
            <w:tcW w:w="1795" w:type="dxa"/>
          </w:tcPr>
          <w:p w14:paraId="48254481">
            <w:pPr>
              <w:pStyle w:val="21"/>
              <w:spacing w:before="132"/>
              <w:ind w:left="334"/>
              <w:rPr>
                <w:rFonts w:ascii="Times New Roman" w:hAnsi="Times New Roman" w:cs="Times New Roman"/>
                <w:sz w:val="28"/>
              </w:rPr>
            </w:pPr>
            <w:r>
              <w:rPr>
                <w:rFonts w:ascii="Times New Roman" w:hAnsi="Times New Roman" w:cs="Times New Roman"/>
                <w:sz w:val="28"/>
              </w:rPr>
              <w:t>联系电话</w:t>
            </w:r>
          </w:p>
        </w:tc>
        <w:tc>
          <w:tcPr>
            <w:tcW w:w="1800" w:type="dxa"/>
          </w:tcPr>
          <w:p w14:paraId="58C1E4B9">
            <w:pPr>
              <w:pStyle w:val="21"/>
              <w:spacing w:before="132"/>
              <w:ind w:left="339"/>
              <w:rPr>
                <w:rFonts w:ascii="Times New Roman" w:hAnsi="Times New Roman" w:cs="Times New Roman"/>
                <w:sz w:val="28"/>
              </w:rPr>
            </w:pPr>
            <w:r>
              <w:rPr>
                <w:rFonts w:ascii="Times New Roman" w:hAnsi="Times New Roman" w:cs="Times New Roman"/>
                <w:sz w:val="28"/>
              </w:rPr>
              <w:t>电子邮箱</w:t>
            </w:r>
          </w:p>
        </w:tc>
        <w:tc>
          <w:tcPr>
            <w:tcW w:w="1555" w:type="dxa"/>
          </w:tcPr>
          <w:p w14:paraId="21708193">
            <w:pPr>
              <w:pStyle w:val="21"/>
              <w:spacing w:before="132"/>
              <w:ind w:left="497"/>
              <w:rPr>
                <w:rFonts w:ascii="Times New Roman" w:hAnsi="Times New Roman" w:cs="Times New Roman"/>
                <w:sz w:val="28"/>
              </w:rPr>
            </w:pPr>
            <w:r>
              <w:rPr>
                <w:rFonts w:ascii="Times New Roman" w:hAnsi="Times New Roman" w:cs="Times New Roman"/>
                <w:sz w:val="28"/>
              </w:rPr>
              <w:t>备注</w:t>
            </w:r>
          </w:p>
        </w:tc>
      </w:tr>
      <w:tr w14:paraId="32B945FC">
        <w:trPr>
          <w:trHeight w:val="623" w:hRule="atLeast"/>
        </w:trPr>
        <w:tc>
          <w:tcPr>
            <w:tcW w:w="931" w:type="dxa"/>
          </w:tcPr>
          <w:p w14:paraId="2E7BBE98">
            <w:pPr>
              <w:pStyle w:val="21"/>
              <w:rPr>
                <w:rFonts w:ascii="Times New Roman" w:hAnsi="Times New Roman" w:cs="Times New Roman"/>
                <w:sz w:val="28"/>
              </w:rPr>
            </w:pPr>
          </w:p>
        </w:tc>
        <w:tc>
          <w:tcPr>
            <w:tcW w:w="3168" w:type="dxa"/>
          </w:tcPr>
          <w:p w14:paraId="5C4B86B0">
            <w:pPr>
              <w:pStyle w:val="21"/>
              <w:rPr>
                <w:rFonts w:ascii="Times New Roman" w:hAnsi="Times New Roman" w:cs="Times New Roman"/>
                <w:sz w:val="28"/>
              </w:rPr>
            </w:pPr>
          </w:p>
        </w:tc>
        <w:tc>
          <w:tcPr>
            <w:tcW w:w="1682" w:type="dxa"/>
          </w:tcPr>
          <w:p w14:paraId="587AF3FD">
            <w:pPr>
              <w:pStyle w:val="21"/>
              <w:rPr>
                <w:rFonts w:ascii="Times New Roman" w:hAnsi="Times New Roman" w:cs="Times New Roman"/>
                <w:sz w:val="28"/>
              </w:rPr>
            </w:pPr>
          </w:p>
        </w:tc>
        <w:tc>
          <w:tcPr>
            <w:tcW w:w="3242" w:type="dxa"/>
          </w:tcPr>
          <w:p w14:paraId="7FEF19E2">
            <w:pPr>
              <w:pStyle w:val="21"/>
              <w:rPr>
                <w:rFonts w:ascii="Times New Roman" w:hAnsi="Times New Roman" w:cs="Times New Roman"/>
                <w:sz w:val="28"/>
              </w:rPr>
            </w:pPr>
          </w:p>
        </w:tc>
        <w:tc>
          <w:tcPr>
            <w:tcW w:w="1795" w:type="dxa"/>
          </w:tcPr>
          <w:p w14:paraId="12C0DF4D">
            <w:pPr>
              <w:pStyle w:val="21"/>
              <w:rPr>
                <w:rFonts w:ascii="Times New Roman" w:hAnsi="Times New Roman" w:cs="Times New Roman"/>
                <w:sz w:val="28"/>
              </w:rPr>
            </w:pPr>
          </w:p>
        </w:tc>
        <w:tc>
          <w:tcPr>
            <w:tcW w:w="1800" w:type="dxa"/>
          </w:tcPr>
          <w:p w14:paraId="0C434B8B">
            <w:pPr>
              <w:pStyle w:val="21"/>
              <w:rPr>
                <w:rFonts w:ascii="Times New Roman" w:hAnsi="Times New Roman" w:cs="Times New Roman"/>
                <w:sz w:val="28"/>
              </w:rPr>
            </w:pPr>
          </w:p>
        </w:tc>
        <w:tc>
          <w:tcPr>
            <w:tcW w:w="1555" w:type="dxa"/>
          </w:tcPr>
          <w:p w14:paraId="0CB5BA50">
            <w:pPr>
              <w:pStyle w:val="21"/>
              <w:rPr>
                <w:rFonts w:ascii="Times New Roman" w:hAnsi="Times New Roman" w:cs="Times New Roman"/>
                <w:sz w:val="28"/>
              </w:rPr>
            </w:pPr>
          </w:p>
        </w:tc>
      </w:tr>
      <w:tr w14:paraId="60A9A81D">
        <w:trPr>
          <w:trHeight w:val="623" w:hRule="atLeast"/>
        </w:trPr>
        <w:tc>
          <w:tcPr>
            <w:tcW w:w="931" w:type="dxa"/>
          </w:tcPr>
          <w:p w14:paraId="08BEB3DC">
            <w:pPr>
              <w:pStyle w:val="21"/>
              <w:rPr>
                <w:rFonts w:ascii="Times New Roman" w:hAnsi="Times New Roman" w:cs="Times New Roman"/>
                <w:sz w:val="28"/>
              </w:rPr>
            </w:pPr>
          </w:p>
        </w:tc>
        <w:tc>
          <w:tcPr>
            <w:tcW w:w="3168" w:type="dxa"/>
          </w:tcPr>
          <w:p w14:paraId="1706B433">
            <w:pPr>
              <w:pStyle w:val="21"/>
              <w:rPr>
                <w:rFonts w:ascii="Times New Roman" w:hAnsi="Times New Roman" w:cs="Times New Roman"/>
                <w:sz w:val="28"/>
              </w:rPr>
            </w:pPr>
          </w:p>
        </w:tc>
        <w:tc>
          <w:tcPr>
            <w:tcW w:w="1682" w:type="dxa"/>
          </w:tcPr>
          <w:p w14:paraId="773BC19F">
            <w:pPr>
              <w:pStyle w:val="21"/>
              <w:rPr>
                <w:rFonts w:ascii="Times New Roman" w:hAnsi="Times New Roman" w:cs="Times New Roman"/>
                <w:sz w:val="28"/>
              </w:rPr>
            </w:pPr>
          </w:p>
        </w:tc>
        <w:tc>
          <w:tcPr>
            <w:tcW w:w="3242" w:type="dxa"/>
          </w:tcPr>
          <w:p w14:paraId="4A7FDA56">
            <w:pPr>
              <w:pStyle w:val="21"/>
              <w:rPr>
                <w:rFonts w:ascii="Times New Roman" w:hAnsi="Times New Roman" w:cs="Times New Roman"/>
                <w:sz w:val="28"/>
              </w:rPr>
            </w:pPr>
          </w:p>
        </w:tc>
        <w:tc>
          <w:tcPr>
            <w:tcW w:w="1795" w:type="dxa"/>
          </w:tcPr>
          <w:p w14:paraId="25E7EC89">
            <w:pPr>
              <w:pStyle w:val="21"/>
              <w:rPr>
                <w:rFonts w:ascii="Times New Roman" w:hAnsi="Times New Roman" w:cs="Times New Roman"/>
                <w:sz w:val="28"/>
              </w:rPr>
            </w:pPr>
          </w:p>
        </w:tc>
        <w:tc>
          <w:tcPr>
            <w:tcW w:w="1800" w:type="dxa"/>
          </w:tcPr>
          <w:p w14:paraId="4D6A0EB3">
            <w:pPr>
              <w:pStyle w:val="21"/>
              <w:rPr>
                <w:rFonts w:ascii="Times New Roman" w:hAnsi="Times New Roman" w:cs="Times New Roman"/>
                <w:sz w:val="28"/>
              </w:rPr>
            </w:pPr>
          </w:p>
        </w:tc>
        <w:tc>
          <w:tcPr>
            <w:tcW w:w="1555" w:type="dxa"/>
          </w:tcPr>
          <w:p w14:paraId="78C2B514">
            <w:pPr>
              <w:pStyle w:val="21"/>
              <w:rPr>
                <w:rFonts w:ascii="Times New Roman" w:hAnsi="Times New Roman" w:cs="Times New Roman"/>
                <w:sz w:val="28"/>
              </w:rPr>
            </w:pPr>
          </w:p>
        </w:tc>
      </w:tr>
      <w:tr w14:paraId="749F1E36">
        <w:trPr>
          <w:trHeight w:val="623" w:hRule="atLeast"/>
        </w:trPr>
        <w:tc>
          <w:tcPr>
            <w:tcW w:w="931" w:type="dxa"/>
          </w:tcPr>
          <w:p w14:paraId="67A35772">
            <w:pPr>
              <w:pStyle w:val="21"/>
              <w:rPr>
                <w:rFonts w:ascii="Times New Roman" w:hAnsi="Times New Roman" w:cs="Times New Roman"/>
                <w:sz w:val="28"/>
              </w:rPr>
            </w:pPr>
          </w:p>
        </w:tc>
        <w:tc>
          <w:tcPr>
            <w:tcW w:w="3168" w:type="dxa"/>
          </w:tcPr>
          <w:p w14:paraId="005E945F">
            <w:pPr>
              <w:pStyle w:val="21"/>
              <w:rPr>
                <w:rFonts w:ascii="Times New Roman" w:hAnsi="Times New Roman" w:cs="Times New Roman"/>
                <w:sz w:val="28"/>
              </w:rPr>
            </w:pPr>
          </w:p>
        </w:tc>
        <w:tc>
          <w:tcPr>
            <w:tcW w:w="1682" w:type="dxa"/>
          </w:tcPr>
          <w:p w14:paraId="476EBFD3">
            <w:pPr>
              <w:pStyle w:val="21"/>
              <w:rPr>
                <w:rFonts w:ascii="Times New Roman" w:hAnsi="Times New Roman" w:cs="Times New Roman"/>
                <w:sz w:val="28"/>
              </w:rPr>
            </w:pPr>
          </w:p>
        </w:tc>
        <w:tc>
          <w:tcPr>
            <w:tcW w:w="3242" w:type="dxa"/>
          </w:tcPr>
          <w:p w14:paraId="7EC1EE25">
            <w:pPr>
              <w:pStyle w:val="21"/>
              <w:rPr>
                <w:rFonts w:ascii="Times New Roman" w:hAnsi="Times New Roman" w:cs="Times New Roman"/>
                <w:sz w:val="28"/>
              </w:rPr>
            </w:pPr>
          </w:p>
        </w:tc>
        <w:tc>
          <w:tcPr>
            <w:tcW w:w="1795" w:type="dxa"/>
          </w:tcPr>
          <w:p w14:paraId="70DA10A0">
            <w:pPr>
              <w:pStyle w:val="21"/>
              <w:rPr>
                <w:rFonts w:ascii="Times New Roman" w:hAnsi="Times New Roman" w:cs="Times New Roman"/>
                <w:sz w:val="28"/>
              </w:rPr>
            </w:pPr>
          </w:p>
        </w:tc>
        <w:tc>
          <w:tcPr>
            <w:tcW w:w="1800" w:type="dxa"/>
          </w:tcPr>
          <w:p w14:paraId="78BCCED2">
            <w:pPr>
              <w:pStyle w:val="21"/>
              <w:rPr>
                <w:rFonts w:ascii="Times New Roman" w:hAnsi="Times New Roman" w:cs="Times New Roman"/>
                <w:sz w:val="28"/>
              </w:rPr>
            </w:pPr>
          </w:p>
        </w:tc>
        <w:tc>
          <w:tcPr>
            <w:tcW w:w="1555" w:type="dxa"/>
          </w:tcPr>
          <w:p w14:paraId="7E574280">
            <w:pPr>
              <w:pStyle w:val="21"/>
              <w:rPr>
                <w:rFonts w:ascii="Times New Roman" w:hAnsi="Times New Roman" w:cs="Times New Roman"/>
                <w:sz w:val="28"/>
              </w:rPr>
            </w:pPr>
          </w:p>
        </w:tc>
      </w:tr>
      <w:tr w14:paraId="0719CA09">
        <w:trPr>
          <w:trHeight w:val="623" w:hRule="atLeast"/>
        </w:trPr>
        <w:tc>
          <w:tcPr>
            <w:tcW w:w="931" w:type="dxa"/>
          </w:tcPr>
          <w:p w14:paraId="1756E53F">
            <w:pPr>
              <w:pStyle w:val="21"/>
              <w:rPr>
                <w:rFonts w:ascii="Times New Roman" w:hAnsi="Times New Roman" w:cs="Times New Roman"/>
                <w:sz w:val="28"/>
              </w:rPr>
            </w:pPr>
          </w:p>
        </w:tc>
        <w:tc>
          <w:tcPr>
            <w:tcW w:w="3168" w:type="dxa"/>
          </w:tcPr>
          <w:p w14:paraId="7BA55D74">
            <w:pPr>
              <w:pStyle w:val="21"/>
              <w:rPr>
                <w:rFonts w:ascii="Times New Roman" w:hAnsi="Times New Roman" w:cs="Times New Roman"/>
                <w:sz w:val="28"/>
              </w:rPr>
            </w:pPr>
          </w:p>
        </w:tc>
        <w:tc>
          <w:tcPr>
            <w:tcW w:w="1682" w:type="dxa"/>
          </w:tcPr>
          <w:p w14:paraId="11FF147E">
            <w:pPr>
              <w:pStyle w:val="21"/>
              <w:rPr>
                <w:rFonts w:ascii="Times New Roman" w:hAnsi="Times New Roman" w:cs="Times New Roman"/>
                <w:sz w:val="28"/>
              </w:rPr>
            </w:pPr>
          </w:p>
        </w:tc>
        <w:tc>
          <w:tcPr>
            <w:tcW w:w="3242" w:type="dxa"/>
          </w:tcPr>
          <w:p w14:paraId="01C1E83D">
            <w:pPr>
              <w:pStyle w:val="21"/>
              <w:rPr>
                <w:rFonts w:ascii="Times New Roman" w:hAnsi="Times New Roman" w:cs="Times New Roman"/>
                <w:sz w:val="28"/>
              </w:rPr>
            </w:pPr>
          </w:p>
        </w:tc>
        <w:tc>
          <w:tcPr>
            <w:tcW w:w="1795" w:type="dxa"/>
          </w:tcPr>
          <w:p w14:paraId="06F7240F">
            <w:pPr>
              <w:pStyle w:val="21"/>
              <w:rPr>
                <w:rFonts w:ascii="Times New Roman" w:hAnsi="Times New Roman" w:cs="Times New Roman"/>
                <w:sz w:val="28"/>
              </w:rPr>
            </w:pPr>
          </w:p>
        </w:tc>
        <w:tc>
          <w:tcPr>
            <w:tcW w:w="1800" w:type="dxa"/>
          </w:tcPr>
          <w:p w14:paraId="522F1A42">
            <w:pPr>
              <w:pStyle w:val="21"/>
              <w:rPr>
                <w:rFonts w:ascii="Times New Roman" w:hAnsi="Times New Roman" w:cs="Times New Roman"/>
                <w:sz w:val="28"/>
              </w:rPr>
            </w:pPr>
          </w:p>
        </w:tc>
        <w:tc>
          <w:tcPr>
            <w:tcW w:w="1555" w:type="dxa"/>
          </w:tcPr>
          <w:p w14:paraId="740F3965">
            <w:pPr>
              <w:pStyle w:val="21"/>
              <w:rPr>
                <w:rFonts w:ascii="Times New Roman" w:hAnsi="Times New Roman" w:cs="Times New Roman"/>
                <w:sz w:val="28"/>
              </w:rPr>
            </w:pPr>
          </w:p>
        </w:tc>
      </w:tr>
      <w:tr w14:paraId="66557695">
        <w:trPr>
          <w:trHeight w:val="623" w:hRule="atLeast"/>
        </w:trPr>
        <w:tc>
          <w:tcPr>
            <w:tcW w:w="931" w:type="dxa"/>
          </w:tcPr>
          <w:p w14:paraId="036875F1">
            <w:pPr>
              <w:pStyle w:val="21"/>
              <w:rPr>
                <w:rFonts w:ascii="Times New Roman" w:hAnsi="Times New Roman" w:cs="Times New Roman"/>
                <w:sz w:val="28"/>
              </w:rPr>
            </w:pPr>
          </w:p>
        </w:tc>
        <w:tc>
          <w:tcPr>
            <w:tcW w:w="3168" w:type="dxa"/>
          </w:tcPr>
          <w:p w14:paraId="59815AA4">
            <w:pPr>
              <w:pStyle w:val="21"/>
              <w:rPr>
                <w:rFonts w:ascii="Times New Roman" w:hAnsi="Times New Roman" w:cs="Times New Roman"/>
                <w:sz w:val="28"/>
              </w:rPr>
            </w:pPr>
          </w:p>
        </w:tc>
        <w:tc>
          <w:tcPr>
            <w:tcW w:w="1682" w:type="dxa"/>
          </w:tcPr>
          <w:p w14:paraId="527F3957">
            <w:pPr>
              <w:pStyle w:val="21"/>
              <w:rPr>
                <w:rFonts w:ascii="Times New Roman" w:hAnsi="Times New Roman" w:cs="Times New Roman"/>
                <w:sz w:val="28"/>
              </w:rPr>
            </w:pPr>
          </w:p>
        </w:tc>
        <w:tc>
          <w:tcPr>
            <w:tcW w:w="3242" w:type="dxa"/>
          </w:tcPr>
          <w:p w14:paraId="75C7B0CB">
            <w:pPr>
              <w:pStyle w:val="21"/>
              <w:rPr>
                <w:rFonts w:ascii="Times New Roman" w:hAnsi="Times New Roman" w:cs="Times New Roman"/>
                <w:sz w:val="28"/>
              </w:rPr>
            </w:pPr>
          </w:p>
        </w:tc>
        <w:tc>
          <w:tcPr>
            <w:tcW w:w="1795" w:type="dxa"/>
          </w:tcPr>
          <w:p w14:paraId="08D6550F">
            <w:pPr>
              <w:pStyle w:val="21"/>
              <w:rPr>
                <w:rFonts w:ascii="Times New Roman" w:hAnsi="Times New Roman" w:cs="Times New Roman"/>
                <w:sz w:val="28"/>
              </w:rPr>
            </w:pPr>
          </w:p>
        </w:tc>
        <w:tc>
          <w:tcPr>
            <w:tcW w:w="1800" w:type="dxa"/>
          </w:tcPr>
          <w:p w14:paraId="2189D6ED">
            <w:pPr>
              <w:pStyle w:val="21"/>
              <w:rPr>
                <w:rFonts w:ascii="Times New Roman" w:hAnsi="Times New Roman" w:cs="Times New Roman"/>
                <w:sz w:val="28"/>
              </w:rPr>
            </w:pPr>
          </w:p>
        </w:tc>
        <w:tc>
          <w:tcPr>
            <w:tcW w:w="1555" w:type="dxa"/>
          </w:tcPr>
          <w:p w14:paraId="4006F799">
            <w:pPr>
              <w:pStyle w:val="21"/>
              <w:rPr>
                <w:rFonts w:ascii="Times New Roman" w:hAnsi="Times New Roman" w:cs="Times New Roman"/>
                <w:sz w:val="28"/>
              </w:rPr>
            </w:pPr>
          </w:p>
        </w:tc>
      </w:tr>
      <w:tr w14:paraId="1A795933">
        <w:trPr>
          <w:trHeight w:val="626" w:hRule="atLeast"/>
        </w:trPr>
        <w:tc>
          <w:tcPr>
            <w:tcW w:w="931" w:type="dxa"/>
          </w:tcPr>
          <w:p w14:paraId="77B30F56">
            <w:pPr>
              <w:pStyle w:val="21"/>
              <w:rPr>
                <w:rFonts w:ascii="Times New Roman" w:hAnsi="Times New Roman" w:cs="Times New Roman"/>
                <w:sz w:val="28"/>
              </w:rPr>
            </w:pPr>
          </w:p>
        </w:tc>
        <w:tc>
          <w:tcPr>
            <w:tcW w:w="3168" w:type="dxa"/>
          </w:tcPr>
          <w:p w14:paraId="2B6054F3">
            <w:pPr>
              <w:pStyle w:val="21"/>
              <w:rPr>
                <w:rFonts w:ascii="Times New Roman" w:hAnsi="Times New Roman" w:cs="Times New Roman"/>
                <w:sz w:val="28"/>
              </w:rPr>
            </w:pPr>
          </w:p>
        </w:tc>
        <w:tc>
          <w:tcPr>
            <w:tcW w:w="1682" w:type="dxa"/>
          </w:tcPr>
          <w:p w14:paraId="29A7A7C0">
            <w:pPr>
              <w:pStyle w:val="21"/>
              <w:rPr>
                <w:rFonts w:ascii="Times New Roman" w:hAnsi="Times New Roman" w:cs="Times New Roman"/>
                <w:sz w:val="28"/>
              </w:rPr>
            </w:pPr>
          </w:p>
        </w:tc>
        <w:tc>
          <w:tcPr>
            <w:tcW w:w="3242" w:type="dxa"/>
          </w:tcPr>
          <w:p w14:paraId="1FDB3071">
            <w:pPr>
              <w:pStyle w:val="21"/>
              <w:rPr>
                <w:rFonts w:ascii="Times New Roman" w:hAnsi="Times New Roman" w:cs="Times New Roman"/>
                <w:sz w:val="28"/>
              </w:rPr>
            </w:pPr>
          </w:p>
        </w:tc>
        <w:tc>
          <w:tcPr>
            <w:tcW w:w="1795" w:type="dxa"/>
          </w:tcPr>
          <w:p w14:paraId="36DE21AA">
            <w:pPr>
              <w:pStyle w:val="21"/>
              <w:rPr>
                <w:rFonts w:ascii="Times New Roman" w:hAnsi="Times New Roman" w:cs="Times New Roman"/>
                <w:sz w:val="28"/>
              </w:rPr>
            </w:pPr>
          </w:p>
        </w:tc>
        <w:tc>
          <w:tcPr>
            <w:tcW w:w="1800" w:type="dxa"/>
          </w:tcPr>
          <w:p w14:paraId="02BE3C98">
            <w:pPr>
              <w:pStyle w:val="21"/>
              <w:rPr>
                <w:rFonts w:ascii="Times New Roman" w:hAnsi="Times New Roman" w:cs="Times New Roman"/>
                <w:sz w:val="28"/>
              </w:rPr>
            </w:pPr>
          </w:p>
        </w:tc>
        <w:tc>
          <w:tcPr>
            <w:tcW w:w="1555" w:type="dxa"/>
          </w:tcPr>
          <w:p w14:paraId="572751C8">
            <w:pPr>
              <w:pStyle w:val="21"/>
              <w:rPr>
                <w:rFonts w:ascii="Times New Roman" w:hAnsi="Times New Roman" w:cs="Times New Roman"/>
                <w:sz w:val="28"/>
              </w:rPr>
            </w:pPr>
          </w:p>
        </w:tc>
      </w:tr>
      <w:tr w14:paraId="7E4A1F57">
        <w:trPr>
          <w:trHeight w:val="623" w:hRule="atLeast"/>
        </w:trPr>
        <w:tc>
          <w:tcPr>
            <w:tcW w:w="931" w:type="dxa"/>
          </w:tcPr>
          <w:p w14:paraId="3C5FC774">
            <w:pPr>
              <w:pStyle w:val="21"/>
              <w:rPr>
                <w:rFonts w:ascii="Times New Roman" w:hAnsi="Times New Roman" w:cs="Times New Roman"/>
                <w:sz w:val="28"/>
              </w:rPr>
            </w:pPr>
          </w:p>
        </w:tc>
        <w:tc>
          <w:tcPr>
            <w:tcW w:w="3168" w:type="dxa"/>
          </w:tcPr>
          <w:p w14:paraId="41738362">
            <w:pPr>
              <w:pStyle w:val="21"/>
              <w:rPr>
                <w:rFonts w:ascii="Times New Roman" w:hAnsi="Times New Roman" w:cs="Times New Roman"/>
                <w:sz w:val="28"/>
              </w:rPr>
            </w:pPr>
          </w:p>
        </w:tc>
        <w:tc>
          <w:tcPr>
            <w:tcW w:w="1682" w:type="dxa"/>
          </w:tcPr>
          <w:p w14:paraId="07842311">
            <w:pPr>
              <w:pStyle w:val="21"/>
              <w:rPr>
                <w:rFonts w:ascii="Times New Roman" w:hAnsi="Times New Roman" w:cs="Times New Roman"/>
                <w:sz w:val="28"/>
              </w:rPr>
            </w:pPr>
          </w:p>
        </w:tc>
        <w:tc>
          <w:tcPr>
            <w:tcW w:w="3242" w:type="dxa"/>
          </w:tcPr>
          <w:p w14:paraId="7341FC32">
            <w:pPr>
              <w:pStyle w:val="21"/>
              <w:rPr>
                <w:rFonts w:ascii="Times New Roman" w:hAnsi="Times New Roman" w:cs="Times New Roman"/>
                <w:sz w:val="28"/>
              </w:rPr>
            </w:pPr>
          </w:p>
        </w:tc>
        <w:tc>
          <w:tcPr>
            <w:tcW w:w="1795" w:type="dxa"/>
          </w:tcPr>
          <w:p w14:paraId="4574ECC5">
            <w:pPr>
              <w:pStyle w:val="21"/>
              <w:rPr>
                <w:rFonts w:ascii="Times New Roman" w:hAnsi="Times New Roman" w:cs="Times New Roman"/>
                <w:sz w:val="28"/>
              </w:rPr>
            </w:pPr>
          </w:p>
        </w:tc>
        <w:tc>
          <w:tcPr>
            <w:tcW w:w="1800" w:type="dxa"/>
          </w:tcPr>
          <w:p w14:paraId="31AC1CE8">
            <w:pPr>
              <w:pStyle w:val="21"/>
              <w:rPr>
                <w:rFonts w:ascii="Times New Roman" w:hAnsi="Times New Roman" w:cs="Times New Roman"/>
                <w:sz w:val="28"/>
              </w:rPr>
            </w:pPr>
          </w:p>
        </w:tc>
        <w:tc>
          <w:tcPr>
            <w:tcW w:w="1555" w:type="dxa"/>
          </w:tcPr>
          <w:p w14:paraId="32DDB3DE">
            <w:pPr>
              <w:pStyle w:val="21"/>
              <w:rPr>
                <w:rFonts w:ascii="Times New Roman" w:hAnsi="Times New Roman" w:cs="Times New Roman"/>
                <w:sz w:val="28"/>
              </w:rPr>
            </w:pPr>
          </w:p>
        </w:tc>
      </w:tr>
      <w:tr w14:paraId="17001801">
        <w:trPr>
          <w:trHeight w:val="623" w:hRule="atLeast"/>
        </w:trPr>
        <w:tc>
          <w:tcPr>
            <w:tcW w:w="931" w:type="dxa"/>
          </w:tcPr>
          <w:p w14:paraId="7CA148AF">
            <w:pPr>
              <w:pStyle w:val="21"/>
              <w:rPr>
                <w:rFonts w:ascii="Times New Roman" w:hAnsi="Times New Roman" w:cs="Times New Roman"/>
                <w:sz w:val="28"/>
              </w:rPr>
            </w:pPr>
          </w:p>
        </w:tc>
        <w:tc>
          <w:tcPr>
            <w:tcW w:w="3168" w:type="dxa"/>
          </w:tcPr>
          <w:p w14:paraId="526E59FC">
            <w:pPr>
              <w:pStyle w:val="21"/>
              <w:rPr>
                <w:rFonts w:ascii="Times New Roman" w:hAnsi="Times New Roman" w:cs="Times New Roman"/>
                <w:sz w:val="28"/>
              </w:rPr>
            </w:pPr>
          </w:p>
        </w:tc>
        <w:tc>
          <w:tcPr>
            <w:tcW w:w="1682" w:type="dxa"/>
          </w:tcPr>
          <w:p w14:paraId="6E7EEE7D">
            <w:pPr>
              <w:pStyle w:val="21"/>
              <w:rPr>
                <w:rFonts w:ascii="Times New Roman" w:hAnsi="Times New Roman" w:cs="Times New Roman"/>
                <w:sz w:val="28"/>
              </w:rPr>
            </w:pPr>
          </w:p>
        </w:tc>
        <w:tc>
          <w:tcPr>
            <w:tcW w:w="3242" w:type="dxa"/>
          </w:tcPr>
          <w:p w14:paraId="1690185D">
            <w:pPr>
              <w:pStyle w:val="21"/>
              <w:rPr>
                <w:rFonts w:ascii="Times New Roman" w:hAnsi="Times New Roman" w:cs="Times New Roman"/>
                <w:sz w:val="28"/>
              </w:rPr>
            </w:pPr>
          </w:p>
        </w:tc>
        <w:tc>
          <w:tcPr>
            <w:tcW w:w="1795" w:type="dxa"/>
          </w:tcPr>
          <w:p w14:paraId="31037171">
            <w:pPr>
              <w:pStyle w:val="21"/>
              <w:rPr>
                <w:rFonts w:ascii="Times New Roman" w:hAnsi="Times New Roman" w:cs="Times New Roman"/>
                <w:sz w:val="28"/>
              </w:rPr>
            </w:pPr>
          </w:p>
        </w:tc>
        <w:tc>
          <w:tcPr>
            <w:tcW w:w="1800" w:type="dxa"/>
          </w:tcPr>
          <w:p w14:paraId="6C23C4BB">
            <w:pPr>
              <w:pStyle w:val="21"/>
              <w:rPr>
                <w:rFonts w:ascii="Times New Roman" w:hAnsi="Times New Roman" w:cs="Times New Roman"/>
                <w:sz w:val="28"/>
              </w:rPr>
            </w:pPr>
          </w:p>
        </w:tc>
        <w:tc>
          <w:tcPr>
            <w:tcW w:w="1555" w:type="dxa"/>
          </w:tcPr>
          <w:p w14:paraId="333F1B1E">
            <w:pPr>
              <w:pStyle w:val="21"/>
              <w:rPr>
                <w:rFonts w:ascii="Times New Roman" w:hAnsi="Times New Roman" w:cs="Times New Roman"/>
                <w:sz w:val="28"/>
              </w:rPr>
            </w:pPr>
          </w:p>
        </w:tc>
      </w:tr>
    </w:tbl>
    <w:p w14:paraId="79A5AA7D">
      <w:pPr>
        <w:spacing w:before="143"/>
        <w:ind w:left="220"/>
        <w:rPr>
          <w:rFonts w:ascii="Times New Roman" w:hAnsi="Times New Roman" w:cs="Times New Roman"/>
          <w:sz w:val="21"/>
        </w:rPr>
        <w:sectPr>
          <w:type w:val="continuous"/>
          <w:pgSz w:w="16840" w:h="11900" w:orient="landscape"/>
          <w:pgMar w:top="1600" w:right="1220" w:bottom="280" w:left="1220" w:header="720" w:footer="720" w:gutter="0"/>
          <w:cols w:space="720" w:num="1"/>
        </w:sectPr>
      </w:pPr>
      <w:r>
        <w:rPr>
          <w:rFonts w:ascii="Times New Roman" w:hAnsi="Times New Roman" w:cs="Times New Roman"/>
          <w:sz w:val="21"/>
        </w:rPr>
        <w:t>备注：推荐单位名称需与公章一致</w:t>
      </w:r>
    </w:p>
    <w:p w14:paraId="638A6C3A">
      <w:pPr>
        <w:pStyle w:val="4"/>
        <w:spacing w:before="41"/>
        <w:rPr>
          <w:rFonts w:hint="eastAsia" w:ascii="仿宋_GB2312" w:hAnsi="仿宋_GB2312" w:eastAsia="仿宋_GB2312" w:cs="仿宋_GB2312"/>
          <w:sz w:val="32"/>
          <w:szCs w:val="32"/>
          <w:lang w:val="en-US"/>
        </w:rPr>
      </w:pPr>
      <w:r>
        <w:rPr>
          <w:rFonts w:hint="eastAsia" w:ascii="仿宋_GB2312" w:hAnsi="仿宋_GB2312" w:eastAsia="仿宋_GB2312" w:cs="仿宋_GB2312"/>
          <w:sz w:val="32"/>
          <w:szCs w:val="32"/>
          <w:lang w:val="en-US"/>
        </w:rPr>
        <w:t>附件4：</w:t>
      </w:r>
    </w:p>
    <w:p w14:paraId="171885F3">
      <w:pPr>
        <w:pStyle w:val="4"/>
        <w:spacing w:before="41"/>
        <w:rPr>
          <w:rFonts w:hint="eastAsia" w:ascii="仿宋_GB2312" w:hAnsi="仿宋_GB2312" w:eastAsia="仿宋_GB2312" w:cs="仿宋_GB2312"/>
          <w:sz w:val="32"/>
          <w:szCs w:val="32"/>
          <w:lang w:val="en-US"/>
        </w:rPr>
      </w:pPr>
    </w:p>
    <w:p w14:paraId="61AED8E6">
      <w:pPr>
        <w:pStyle w:val="2"/>
        <w:ind w:left="175"/>
        <w:jc w:val="center"/>
        <w:rPr>
          <w:rFonts w:hint="eastAsia" w:ascii="方正小标宋简体" w:hAnsi="方正小标宋简体" w:eastAsia="方正小标宋简体" w:cs="方正小标宋简体"/>
          <w:b w:val="0"/>
          <w:bCs w:val="0"/>
        </w:rPr>
      </w:pPr>
      <w:r>
        <w:rPr>
          <w:rFonts w:hint="eastAsia" w:ascii="方正小标宋简体" w:hAnsi="方正小标宋简体" w:eastAsia="方正小标宋简体" w:cs="方正小标宋简体"/>
          <w:b w:val="0"/>
          <w:bCs w:val="0"/>
        </w:rPr>
        <w:t>湖南省职业教育与成人教育学会科研规划课题</w:t>
      </w:r>
    </w:p>
    <w:p w14:paraId="5066DFC9">
      <w:pPr>
        <w:pStyle w:val="2"/>
        <w:ind w:left="175"/>
        <w:jc w:val="center"/>
        <w:rPr>
          <w:rFonts w:hint="eastAsia" w:ascii="方正小标宋简体" w:hAnsi="方正小标宋简体" w:eastAsia="方正小标宋简体" w:cs="方正小标宋简体"/>
          <w:b w:val="0"/>
          <w:bCs w:val="0"/>
          <w:lang w:val="en-US"/>
        </w:rPr>
      </w:pPr>
      <w:r>
        <w:rPr>
          <w:rFonts w:hint="eastAsia" w:ascii="方正小标宋简体" w:hAnsi="方正小标宋简体" w:eastAsia="方正小标宋简体" w:cs="方正小标宋简体"/>
          <w:b w:val="0"/>
          <w:bCs w:val="0"/>
          <w:lang w:val="en-US"/>
        </w:rPr>
        <w:t>单位管理员信息表</w:t>
      </w:r>
    </w:p>
    <w:p w14:paraId="15A3FF62">
      <w:pPr>
        <w:rPr>
          <w:rFonts w:ascii="Times New Roman" w:hAnsi="Times New Roman" w:cs="Times New Roman"/>
        </w:rPr>
      </w:pPr>
    </w:p>
    <w:p w14:paraId="4F891284">
      <w:pPr>
        <w:pStyle w:val="4"/>
        <w:spacing w:before="4"/>
        <w:rPr>
          <w:rFonts w:ascii="Times New Roman" w:hAnsi="Times New Roman" w:cs="Times New Roman"/>
          <w:sz w:val="10"/>
        </w:rPr>
      </w:pPr>
    </w:p>
    <w:tbl>
      <w:tblPr>
        <w:tblStyle w:val="1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65"/>
        <w:gridCol w:w="2265"/>
        <w:gridCol w:w="2265"/>
        <w:gridCol w:w="2266"/>
      </w:tblGrid>
      <w:tr w14:paraId="4794A7FD">
        <w:trPr>
          <w:trHeight w:val="503" w:hRule="atLeast"/>
          <w:jc w:val="center"/>
        </w:trPr>
        <w:tc>
          <w:tcPr>
            <w:tcW w:w="3654" w:type="dxa"/>
            <w:vAlign w:val="center"/>
          </w:tcPr>
          <w:p w14:paraId="58982978">
            <w:pPr>
              <w:pStyle w:val="21"/>
              <w:jc w:val="center"/>
              <w:rPr>
                <w:rFonts w:ascii="Times New Roman" w:hAnsi="Times New Roman" w:cs="Times New Roman"/>
                <w:sz w:val="28"/>
                <w:lang w:val="en-US"/>
              </w:rPr>
            </w:pPr>
            <w:r>
              <w:rPr>
                <w:rFonts w:hint="eastAsia" w:ascii="Times New Roman" w:hAnsi="Times New Roman" w:cs="Times New Roman"/>
                <w:sz w:val="28"/>
                <w:lang w:val="en-US"/>
              </w:rPr>
              <w:t>单位</w:t>
            </w:r>
          </w:p>
        </w:tc>
        <w:tc>
          <w:tcPr>
            <w:tcW w:w="3654" w:type="dxa"/>
            <w:vAlign w:val="center"/>
          </w:tcPr>
          <w:p w14:paraId="607BC06D">
            <w:pPr>
              <w:pStyle w:val="21"/>
              <w:jc w:val="center"/>
              <w:rPr>
                <w:rFonts w:ascii="Times New Roman" w:hAnsi="Times New Roman" w:cs="Times New Roman"/>
                <w:sz w:val="28"/>
                <w:lang w:val="en-US"/>
              </w:rPr>
            </w:pPr>
            <w:r>
              <w:rPr>
                <w:rFonts w:hint="eastAsia" w:ascii="Times New Roman" w:hAnsi="Times New Roman" w:cs="Times New Roman"/>
                <w:sz w:val="28"/>
                <w:lang w:val="en-US"/>
              </w:rPr>
              <w:t>管理员姓名</w:t>
            </w:r>
          </w:p>
        </w:tc>
        <w:tc>
          <w:tcPr>
            <w:tcW w:w="3654" w:type="dxa"/>
            <w:vAlign w:val="center"/>
          </w:tcPr>
          <w:p w14:paraId="0691FBA7">
            <w:pPr>
              <w:pStyle w:val="21"/>
              <w:jc w:val="center"/>
              <w:rPr>
                <w:rFonts w:ascii="Times New Roman" w:hAnsi="Times New Roman" w:cs="Times New Roman"/>
                <w:sz w:val="28"/>
                <w:lang w:val="en-US"/>
              </w:rPr>
            </w:pPr>
            <w:r>
              <w:rPr>
                <w:rFonts w:hint="eastAsia" w:ascii="Times New Roman" w:hAnsi="Times New Roman" w:cs="Times New Roman"/>
                <w:sz w:val="28"/>
                <w:lang w:val="en-US"/>
              </w:rPr>
              <w:t>管理员所在部门</w:t>
            </w:r>
          </w:p>
        </w:tc>
        <w:tc>
          <w:tcPr>
            <w:tcW w:w="3654" w:type="dxa"/>
            <w:vAlign w:val="center"/>
          </w:tcPr>
          <w:p w14:paraId="296FF848">
            <w:pPr>
              <w:pStyle w:val="21"/>
              <w:jc w:val="center"/>
              <w:rPr>
                <w:rFonts w:ascii="Times New Roman" w:hAnsi="Times New Roman" w:cs="Times New Roman"/>
                <w:sz w:val="28"/>
                <w:lang w:val="en-US"/>
              </w:rPr>
            </w:pPr>
            <w:r>
              <w:rPr>
                <w:rFonts w:hint="eastAsia" w:ascii="Times New Roman" w:hAnsi="Times New Roman" w:cs="Times New Roman"/>
                <w:sz w:val="28"/>
                <w:lang w:val="en-US"/>
              </w:rPr>
              <w:t>管理员电话</w:t>
            </w:r>
          </w:p>
        </w:tc>
      </w:tr>
      <w:tr w14:paraId="5FC77C0F">
        <w:trPr>
          <w:trHeight w:val="962" w:hRule="atLeast"/>
          <w:jc w:val="center"/>
        </w:trPr>
        <w:tc>
          <w:tcPr>
            <w:tcW w:w="3654" w:type="dxa"/>
            <w:vAlign w:val="center"/>
          </w:tcPr>
          <w:p w14:paraId="2CFD79D7">
            <w:pPr>
              <w:pStyle w:val="21"/>
              <w:jc w:val="center"/>
              <w:rPr>
                <w:rFonts w:ascii="Times New Roman" w:hAnsi="Times New Roman" w:cs="Times New Roman"/>
                <w:sz w:val="28"/>
                <w:lang w:val="en-US"/>
              </w:rPr>
            </w:pPr>
          </w:p>
        </w:tc>
        <w:tc>
          <w:tcPr>
            <w:tcW w:w="3654" w:type="dxa"/>
            <w:vAlign w:val="center"/>
          </w:tcPr>
          <w:p w14:paraId="1337FA49">
            <w:pPr>
              <w:pStyle w:val="21"/>
              <w:jc w:val="center"/>
              <w:rPr>
                <w:rFonts w:ascii="Times New Roman" w:hAnsi="Times New Roman" w:cs="Times New Roman"/>
                <w:sz w:val="28"/>
                <w:lang w:val="en-US"/>
              </w:rPr>
            </w:pPr>
          </w:p>
        </w:tc>
        <w:tc>
          <w:tcPr>
            <w:tcW w:w="3654" w:type="dxa"/>
            <w:vAlign w:val="center"/>
          </w:tcPr>
          <w:p w14:paraId="65897971">
            <w:pPr>
              <w:pStyle w:val="21"/>
              <w:jc w:val="center"/>
              <w:rPr>
                <w:rFonts w:ascii="Times New Roman" w:hAnsi="Times New Roman" w:cs="Times New Roman"/>
                <w:sz w:val="28"/>
                <w:lang w:val="en-US"/>
              </w:rPr>
            </w:pPr>
          </w:p>
        </w:tc>
        <w:tc>
          <w:tcPr>
            <w:tcW w:w="3654" w:type="dxa"/>
            <w:vAlign w:val="center"/>
          </w:tcPr>
          <w:p w14:paraId="6604C35C">
            <w:pPr>
              <w:pStyle w:val="21"/>
              <w:jc w:val="center"/>
              <w:rPr>
                <w:rFonts w:ascii="Times New Roman" w:hAnsi="Times New Roman" w:cs="Times New Roman"/>
                <w:sz w:val="28"/>
                <w:lang w:val="en-US"/>
              </w:rPr>
            </w:pPr>
          </w:p>
        </w:tc>
      </w:tr>
    </w:tbl>
    <w:p w14:paraId="0292F98B">
      <w:pPr>
        <w:keepNext w:val="0"/>
        <w:keepLines w:val="0"/>
        <w:pageBreakBefore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lang w:val="en-US" w:eastAsia="zh-CN"/>
        </w:rPr>
      </w:pPr>
    </w:p>
    <w:p w14:paraId="3B83E325">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spacing w:val="-11"/>
          <w:sz w:val="30"/>
          <w:szCs w:val="30"/>
          <w:lang w:val="en-US" w:eastAsia="zh-CN"/>
        </w:rPr>
      </w:pPr>
    </w:p>
    <w:p w14:paraId="458A880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_GB2312"/>
          <w:sz w:val="32"/>
          <w:szCs w:val="32"/>
          <w:lang w:val="en-US" w:eastAsia="zh-CN"/>
        </w:rPr>
      </w:pPr>
    </w:p>
    <w:p w14:paraId="29939145">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_GB2312"/>
          <w:sz w:val="32"/>
          <w:szCs w:val="32"/>
          <w:lang w:val="en-US" w:eastAsia="zh-CN"/>
        </w:rPr>
      </w:pPr>
    </w:p>
    <w:p w14:paraId="5E0E9D58">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_GB2312"/>
          <w:sz w:val="32"/>
          <w:szCs w:val="32"/>
          <w:lang w:val="en-US" w:eastAsia="zh-CN"/>
        </w:rPr>
      </w:pPr>
    </w:p>
    <w:p w14:paraId="39B7DB43">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_GB2312"/>
          <w:sz w:val="32"/>
          <w:szCs w:val="32"/>
          <w:lang w:val="en-US" w:eastAsia="zh-CN"/>
        </w:rPr>
      </w:pPr>
    </w:p>
    <w:p w14:paraId="09BA71F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_GB2312"/>
          <w:sz w:val="32"/>
          <w:szCs w:val="32"/>
          <w:lang w:val="en-US" w:eastAsia="zh-CN"/>
        </w:rPr>
      </w:pPr>
    </w:p>
    <w:p w14:paraId="0AB09036">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_GB2312"/>
          <w:sz w:val="32"/>
          <w:szCs w:val="32"/>
          <w:lang w:val="en-US" w:eastAsia="zh-CN"/>
        </w:rPr>
      </w:pPr>
    </w:p>
    <w:p w14:paraId="7FFF2242">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_GB2312"/>
          <w:sz w:val="32"/>
          <w:szCs w:val="32"/>
          <w:lang w:val="en-US" w:eastAsia="zh-CN"/>
        </w:rPr>
      </w:pPr>
    </w:p>
    <w:p w14:paraId="4B95C55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_GB2312"/>
          <w:sz w:val="32"/>
          <w:szCs w:val="32"/>
          <w:lang w:val="en-US" w:eastAsia="zh-CN"/>
        </w:rPr>
      </w:pPr>
    </w:p>
    <w:p w14:paraId="6D6B68D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_GB2312"/>
          <w:sz w:val="32"/>
          <w:szCs w:val="32"/>
          <w:lang w:val="en-US" w:eastAsia="zh-CN"/>
        </w:rPr>
      </w:pPr>
    </w:p>
    <w:p w14:paraId="45A68CF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_GB2312"/>
          <w:sz w:val="32"/>
          <w:szCs w:val="32"/>
          <w:lang w:val="en-US" w:eastAsia="zh-CN"/>
        </w:rPr>
      </w:pPr>
    </w:p>
    <w:p w14:paraId="3A4CE8A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_GB2312"/>
          <w:sz w:val="32"/>
          <w:szCs w:val="32"/>
          <w:lang w:val="en-US" w:eastAsia="zh-CN"/>
        </w:rPr>
      </w:pPr>
    </w:p>
    <w:p w14:paraId="41E5569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_GB2312"/>
          <w:sz w:val="32"/>
          <w:szCs w:val="32"/>
          <w:lang w:val="en-US" w:eastAsia="zh-CN"/>
        </w:rPr>
      </w:pPr>
    </w:p>
    <w:p w14:paraId="3DF55972">
      <w:pPr>
        <w:autoSpaceDE/>
        <w:autoSpaceDN/>
        <w:spacing w:line="360" w:lineRule="auto"/>
        <w:ind w:right="-1153" w:rightChars="-549"/>
        <w:jc w:val="center"/>
        <w:rPr>
          <w:rFonts w:hint="eastAsia" w:ascii="等线" w:hAnsi="等线" w:eastAsia="等线" w:cs="等线"/>
          <w:sz w:val="72"/>
          <w:szCs w:val="72"/>
        </w:rPr>
      </w:pPr>
      <w:r>
        <w:rPr>
          <w:rFonts w:hint="eastAsia" w:ascii="等线" w:hAnsi="等线" w:eastAsia="等线" w:cs="等线"/>
          <w:b/>
          <w:bCs/>
        </w:rPr>
        <w:drawing>
          <wp:anchor distT="0" distB="0" distL="114300" distR="114300" simplePos="0" relativeHeight="251660288" behindDoc="1" locked="0" layoutInCell="1" allowOverlap="1">
            <wp:simplePos x="0" y="0"/>
            <wp:positionH relativeFrom="column">
              <wp:posOffset>-1016000</wp:posOffset>
            </wp:positionH>
            <wp:positionV relativeFrom="page">
              <wp:posOffset>-21590</wp:posOffset>
            </wp:positionV>
            <wp:extent cx="7831455" cy="10697845"/>
            <wp:effectExtent l="0" t="0" r="17145" b="8255"/>
            <wp:wrapNone/>
            <wp:docPr id="64" name="图片 64" descr="C:\Users\Administrator\Desktop\578d8dd91d602.jpg578d8dd91d6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图片 64" descr="C:\Users\Administrator\Desktop\578d8dd91d602.jpg578d8dd91d602"/>
                    <pic:cNvPicPr>
                      <a:picLocks noChangeAspect="1"/>
                    </pic:cNvPicPr>
                  </pic:nvPicPr>
                  <pic:blipFill>
                    <a:blip r:embed="rId6"/>
                    <a:srcRect/>
                    <a:stretch>
                      <a:fillRect/>
                    </a:stretch>
                  </pic:blipFill>
                  <pic:spPr>
                    <a:xfrm>
                      <a:off x="0" y="0"/>
                      <a:ext cx="7831455" cy="10697845"/>
                    </a:xfrm>
                    <a:prstGeom prst="rect">
                      <a:avLst/>
                    </a:prstGeom>
                  </pic:spPr>
                </pic:pic>
              </a:graphicData>
            </a:graphic>
          </wp:anchor>
        </w:drawing>
      </w:r>
      <w:r>
        <mc:AlternateContent>
          <mc:Choice Requires="wps">
            <w:drawing>
              <wp:anchor distT="0" distB="0" distL="114300" distR="114300" simplePos="0" relativeHeight="251661312" behindDoc="0" locked="0" layoutInCell="1" allowOverlap="1">
                <wp:simplePos x="0" y="0"/>
                <wp:positionH relativeFrom="column">
                  <wp:posOffset>-626745</wp:posOffset>
                </wp:positionH>
                <wp:positionV relativeFrom="paragraph">
                  <wp:posOffset>-986790</wp:posOffset>
                </wp:positionV>
                <wp:extent cx="1090930" cy="528320"/>
                <wp:effectExtent l="0" t="0" r="0" b="0"/>
                <wp:wrapNone/>
                <wp:docPr id="39" name="文本框 39"/>
                <wp:cNvGraphicFramePr/>
                <a:graphic xmlns:a="http://schemas.openxmlformats.org/drawingml/2006/main">
                  <a:graphicData uri="http://schemas.microsoft.com/office/word/2010/wordprocessingShape">
                    <wps:wsp>
                      <wps:cNvSpPr txBox="1"/>
                      <wps:spPr>
                        <a:xfrm>
                          <a:off x="0" y="0"/>
                          <a:ext cx="1090930" cy="52832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ABE101E">
                            <w:pPr>
                              <w:rPr>
                                <w:rFonts w:hint="eastAsia" w:ascii="仿宋_GB2312" w:hAnsi="仿宋_GB2312" w:eastAsia="仿宋_GB2312" w:cs="仿宋_GB2312"/>
                                <w:sz w:val="32"/>
                                <w:szCs w:val="32"/>
                                <w:lang w:val="en-US"/>
                              </w:rPr>
                            </w:pPr>
                            <w:r>
                              <w:rPr>
                                <w:rFonts w:hint="eastAsia" w:ascii="仿宋_GB2312" w:hAnsi="仿宋_GB2312" w:eastAsia="仿宋_GB2312" w:cs="仿宋_GB2312"/>
                                <w:sz w:val="32"/>
                                <w:szCs w:val="32"/>
                                <w:lang w:val="en-US"/>
                              </w:rPr>
                              <w:t>附件5</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9.35pt;margin-top:-77.7pt;height:41.6pt;width:85.9pt;z-index:251661312;mso-width-relative:page;mso-height-relative:page;" filled="f" stroked="f" coordsize="21600,21600" o:gfxdata="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AAAAAZHJzL1BLAQIUABQAAAAIAIdO4kAyDJgZ2wAAAAsBAAAPAAAAAAAAAAEAIAAAACIAAABk&#10;cnMvZG93bnJldi54bWxQSwECFAAUAAAACACHTuJAY6SfGTwCAABoBAAADgAAAAAAAAABACAAAAAq&#10;AQAAZHJzL2Uyb0RvYy54bWxQSwUGAAAAAAYABgBZAQAA2AUAAAAA&#10;">
                <v:fill on="f" focussize="0,0"/>
                <v:stroke on="f" weight="0.5pt"/>
                <v:imagedata o:title=""/>
                <o:lock v:ext="edit" aspectratio="f"/>
                <v:textbox>
                  <w:txbxContent>
                    <w:p w14:paraId="3ABE101E">
                      <w:pPr>
                        <w:rPr>
                          <w:rFonts w:hint="eastAsia" w:ascii="仿宋_GB2312" w:hAnsi="仿宋_GB2312" w:eastAsia="仿宋_GB2312" w:cs="仿宋_GB2312"/>
                          <w:sz w:val="32"/>
                          <w:szCs w:val="32"/>
                          <w:lang w:val="en-US"/>
                        </w:rPr>
                      </w:pPr>
                      <w:r>
                        <w:rPr>
                          <w:rFonts w:hint="eastAsia" w:ascii="仿宋_GB2312" w:hAnsi="仿宋_GB2312" w:eastAsia="仿宋_GB2312" w:cs="仿宋_GB2312"/>
                          <w:sz w:val="32"/>
                          <w:szCs w:val="32"/>
                          <w:lang w:val="en-US"/>
                        </w:rPr>
                        <w:t>附件5</w:t>
                      </w:r>
                    </w:p>
                  </w:txbxContent>
                </v:textbox>
              </v:shape>
            </w:pict>
          </mc:Fallback>
        </mc:AlternateContent>
      </w:r>
    </w:p>
    <w:p w14:paraId="240F86B3">
      <w:pPr>
        <w:autoSpaceDE/>
        <w:autoSpaceDN/>
        <w:spacing w:line="360" w:lineRule="auto"/>
        <w:ind w:right="-1153" w:rightChars="-549"/>
        <w:jc w:val="center"/>
        <w:rPr>
          <w:rFonts w:hint="eastAsia" w:ascii="等线" w:hAnsi="等线" w:eastAsia="等线" w:cs="等线"/>
          <w:sz w:val="72"/>
          <w:szCs w:val="72"/>
        </w:rPr>
      </w:pPr>
    </w:p>
    <w:p w14:paraId="4792B9B9">
      <w:pPr>
        <w:autoSpaceDE/>
        <w:autoSpaceDN/>
        <w:spacing w:line="360" w:lineRule="auto"/>
        <w:ind w:right="-1153" w:rightChars="-549"/>
        <w:jc w:val="center"/>
        <w:rPr>
          <w:rFonts w:hint="eastAsia" w:ascii="等线" w:hAnsi="等线" w:eastAsia="等线" w:cs="等线"/>
          <w:sz w:val="72"/>
          <w:szCs w:val="72"/>
        </w:rPr>
      </w:pPr>
    </w:p>
    <w:p w14:paraId="1F21EBDC">
      <w:pPr>
        <w:autoSpaceDE/>
        <w:autoSpaceDN/>
        <w:spacing w:line="360" w:lineRule="auto"/>
        <w:ind w:right="-1153" w:rightChars="-549"/>
        <w:jc w:val="center"/>
        <w:rPr>
          <w:rFonts w:hint="eastAsia" w:ascii="等线" w:hAnsi="等线" w:eastAsia="等线" w:cs="等线"/>
          <w:sz w:val="72"/>
          <w:szCs w:val="72"/>
        </w:rPr>
      </w:pPr>
    </w:p>
    <w:p w14:paraId="6E6957F1">
      <w:pPr>
        <w:autoSpaceDE/>
        <w:autoSpaceDN/>
        <w:spacing w:line="360" w:lineRule="auto"/>
        <w:ind w:right="-1153" w:rightChars="-549"/>
        <w:jc w:val="center"/>
        <w:rPr>
          <w:rFonts w:hint="eastAsia" w:ascii="等线" w:hAnsi="等线" w:eastAsia="等线" w:cs="等线"/>
          <w:sz w:val="72"/>
          <w:szCs w:val="72"/>
        </w:rPr>
      </w:pPr>
    </w:p>
    <w:p w14:paraId="14047BEB">
      <w:pPr>
        <w:autoSpaceDE/>
        <w:autoSpaceDN/>
        <w:spacing w:line="360" w:lineRule="auto"/>
        <w:ind w:right="-1153" w:rightChars="-549"/>
        <w:jc w:val="center"/>
        <w:rPr>
          <w:rFonts w:hint="eastAsia" w:ascii="等线" w:hAnsi="等线" w:eastAsia="等线" w:cs="等线"/>
          <w:sz w:val="72"/>
          <w:szCs w:val="72"/>
        </w:rPr>
      </w:pPr>
    </w:p>
    <w:p w14:paraId="08022C0F">
      <w:pPr>
        <w:autoSpaceDE/>
        <w:autoSpaceDN/>
        <w:spacing w:line="360" w:lineRule="auto"/>
        <w:ind w:right="-1153" w:rightChars="-549"/>
        <w:jc w:val="center"/>
        <w:rPr>
          <w:rFonts w:hint="eastAsia" w:ascii="等线" w:hAnsi="等线" w:eastAsia="等线" w:cs="等线"/>
          <w:sz w:val="72"/>
          <w:szCs w:val="72"/>
        </w:rPr>
      </w:pPr>
    </w:p>
    <w:p w14:paraId="7FEDFB22">
      <w:pPr>
        <w:autoSpaceDE/>
        <w:autoSpaceDN/>
        <w:spacing w:line="360" w:lineRule="auto"/>
        <w:ind w:right="-1153" w:rightChars="-549"/>
        <w:jc w:val="center"/>
        <w:rPr>
          <w:rFonts w:hint="eastAsia" w:ascii="等线" w:hAnsi="等线" w:eastAsia="等线" w:cs="等线"/>
          <w:sz w:val="72"/>
          <w:szCs w:val="72"/>
        </w:rPr>
      </w:pPr>
    </w:p>
    <w:p w14:paraId="34F028E0">
      <w:pPr>
        <w:keepNext w:val="0"/>
        <w:keepLines w:val="0"/>
        <w:pageBreakBefore w:val="0"/>
        <w:widowControl w:val="0"/>
        <w:kinsoku/>
        <w:wordWrap/>
        <w:overflowPunct/>
        <w:topLinePunct w:val="0"/>
        <w:autoSpaceDE/>
        <w:autoSpaceDN/>
        <w:bidi w:val="0"/>
        <w:adjustRightInd/>
        <w:snapToGrid/>
        <w:spacing w:line="700" w:lineRule="exact"/>
        <w:ind w:right="-1153" w:rightChars="-549"/>
        <w:jc w:val="center"/>
        <w:textAlignment w:val="auto"/>
        <w:rPr>
          <w:rFonts w:hint="eastAsia" w:ascii="等线" w:hAnsi="等线" w:eastAsia="等线" w:cs="等线"/>
          <w:sz w:val="72"/>
          <w:szCs w:val="72"/>
        </w:rPr>
      </w:pPr>
      <w:r>
        <w:rPr>
          <w:rFonts w:hint="eastAsia" w:ascii="等线" w:hAnsi="等线" w:eastAsia="等线" w:cs="等线"/>
          <w:sz w:val="72"/>
          <w:szCs w:val="72"/>
        </w:rPr>
        <w:t>科研规划课题申报与管理平台</w:t>
      </w:r>
    </w:p>
    <w:p w14:paraId="68B7D288">
      <w:pPr>
        <w:keepNext w:val="0"/>
        <w:keepLines w:val="0"/>
        <w:pageBreakBefore w:val="0"/>
        <w:widowControl w:val="0"/>
        <w:numPr>
          <w:ilvl w:val="0"/>
          <w:numId w:val="0"/>
        </w:numPr>
        <w:kinsoku/>
        <w:wordWrap/>
        <w:overflowPunct/>
        <w:topLinePunct w:val="0"/>
        <w:autoSpaceDE/>
        <w:autoSpaceDN/>
        <w:bidi w:val="0"/>
        <w:adjustRightInd/>
        <w:snapToGrid/>
        <w:spacing w:line="700" w:lineRule="exact"/>
        <w:jc w:val="both"/>
        <w:textAlignment w:val="auto"/>
        <w:rPr>
          <w:rFonts w:hint="eastAsia" w:ascii="等线" w:hAnsi="等线" w:eastAsia="等线" w:cs="等线"/>
          <w:sz w:val="72"/>
          <w:szCs w:val="72"/>
        </w:rPr>
      </w:pPr>
    </w:p>
    <w:p w14:paraId="0D58294E">
      <w:pPr>
        <w:keepNext w:val="0"/>
        <w:keepLines w:val="0"/>
        <w:pageBreakBefore w:val="0"/>
        <w:widowControl w:val="0"/>
        <w:numPr>
          <w:ilvl w:val="0"/>
          <w:numId w:val="0"/>
        </w:numPr>
        <w:kinsoku/>
        <w:wordWrap/>
        <w:overflowPunct/>
        <w:topLinePunct w:val="0"/>
        <w:autoSpaceDE/>
        <w:autoSpaceDN/>
        <w:bidi w:val="0"/>
        <w:adjustRightInd/>
        <w:snapToGrid/>
        <w:spacing w:line="700" w:lineRule="exact"/>
        <w:ind w:firstLine="1440" w:firstLineChars="200"/>
        <w:jc w:val="both"/>
        <w:textAlignment w:val="auto"/>
        <w:rPr>
          <w:rFonts w:hint="eastAsia" w:ascii="等线" w:hAnsi="等线" w:eastAsia="等线" w:cs="等线"/>
          <w:sz w:val="72"/>
          <w:szCs w:val="72"/>
          <w:lang w:val="en-US"/>
        </w:rPr>
      </w:pPr>
      <w:r>
        <w:rPr>
          <w:rFonts w:hint="eastAsia" w:ascii="等线" w:hAnsi="等线" w:eastAsia="等线" w:cs="等线"/>
          <w:sz w:val="72"/>
          <w:szCs w:val="72"/>
        </w:rPr>
        <w:t>【</w:t>
      </w:r>
      <w:r>
        <w:rPr>
          <w:rFonts w:hint="eastAsia" w:ascii="等线" w:hAnsi="等线" w:eastAsia="等线" w:cs="等线"/>
          <w:sz w:val="72"/>
          <w:szCs w:val="72"/>
          <w:lang w:val="en-US"/>
        </w:rPr>
        <w:t>申报老师</w:t>
      </w:r>
      <w:r>
        <w:rPr>
          <w:rFonts w:hint="eastAsia" w:ascii="等线" w:hAnsi="等线" w:eastAsia="等线" w:cs="等线"/>
          <w:sz w:val="72"/>
          <w:szCs w:val="72"/>
        </w:rPr>
        <w:t>】</w:t>
      </w:r>
      <w:r>
        <w:rPr>
          <w:rFonts w:hint="eastAsia" w:ascii="等线" w:hAnsi="等线" w:eastAsia="等线" w:cs="等线"/>
          <w:sz w:val="72"/>
          <w:szCs w:val="72"/>
          <w:lang w:val="en-US"/>
        </w:rPr>
        <w:t>操作手册</w:t>
      </w:r>
    </w:p>
    <w:sdt>
      <w:sdtPr>
        <w:rPr>
          <w:rFonts w:hint="eastAsia" w:ascii="等线" w:hAnsi="等线" w:eastAsia="等线" w:cs="等线"/>
          <w:b/>
          <w:bCs/>
          <w:kern w:val="2"/>
          <w:sz w:val="24"/>
          <w:szCs w:val="28"/>
          <w:lang w:val="en-US" w:bidi="ar-SA"/>
        </w:rPr>
        <w:id w:val="147461577"/>
        <w15:color w:val="DBDBDB"/>
        <w:docPartObj>
          <w:docPartGallery w:val="Table of Contents"/>
          <w:docPartUnique/>
        </w:docPartObj>
      </w:sdtPr>
      <w:sdtEndPr>
        <w:rPr>
          <w:rFonts w:hint="eastAsia" w:ascii="等线" w:hAnsi="等线" w:eastAsia="等线" w:cs="等线"/>
          <w:b/>
          <w:bCs/>
          <w:kern w:val="2"/>
          <w:sz w:val="24"/>
          <w:szCs w:val="22"/>
          <w:lang w:val="en-US" w:bidi="ar-SA"/>
        </w:rPr>
      </w:sdtEndPr>
      <w:sdtContent>
        <w:p w14:paraId="4AA70F94">
          <w:pPr>
            <w:autoSpaceDE/>
            <w:autoSpaceDN/>
            <w:spacing w:line="360" w:lineRule="auto"/>
            <w:jc w:val="center"/>
            <w:rPr>
              <w:rFonts w:hint="eastAsia" w:ascii="等线" w:hAnsi="等线" w:eastAsia="等线" w:cs="等线"/>
              <w:b/>
              <w:bCs/>
              <w:kern w:val="2"/>
              <w:sz w:val="24"/>
              <w:szCs w:val="28"/>
              <w:lang w:val="en-US" w:bidi="ar-SA"/>
            </w:rPr>
          </w:pPr>
        </w:p>
        <w:p w14:paraId="0DFFDD15">
          <w:pPr>
            <w:autoSpaceDE/>
            <w:autoSpaceDN/>
            <w:spacing w:line="360" w:lineRule="auto"/>
            <w:jc w:val="center"/>
            <w:rPr>
              <w:rFonts w:hint="eastAsia" w:ascii="等线" w:hAnsi="等线" w:eastAsia="等线" w:cs="等线"/>
              <w:b/>
              <w:bCs/>
              <w:sz w:val="32"/>
              <w:szCs w:val="28"/>
            </w:rPr>
          </w:pPr>
          <w:r>
            <w:rPr>
              <w:rFonts w:hint="eastAsia" w:ascii="等线" w:hAnsi="等线" w:eastAsia="等线" w:cs="等线"/>
              <w:b/>
              <w:bCs/>
              <w:sz w:val="24"/>
              <w:szCs w:val="28"/>
            </w:rPr>
            <w:t>目录</w:t>
          </w:r>
        </w:p>
        <w:p w14:paraId="2BD117D7">
          <w:pPr>
            <w:pStyle w:val="9"/>
            <w:tabs>
              <w:tab w:val="right" w:leader="dot" w:pos="8306"/>
            </w:tabs>
            <w:rPr>
              <w:rFonts w:hint="eastAsia" w:ascii="等线" w:hAnsi="等线" w:eastAsia="等线" w:cs="等线"/>
            </w:rPr>
          </w:pPr>
          <w:r>
            <w:rPr>
              <w:rFonts w:hint="eastAsia" w:ascii="等线" w:hAnsi="等线" w:eastAsia="等线" w:cs="等线"/>
            </w:rPr>
            <w:fldChar w:fldCharType="begin"/>
          </w:r>
          <w:r>
            <w:rPr>
              <w:rFonts w:hint="eastAsia" w:ascii="等线" w:hAnsi="等线" w:eastAsia="等线" w:cs="等线"/>
            </w:rPr>
            <w:instrText xml:space="preserve">TOC \o "1-3" \h \u </w:instrText>
          </w:r>
          <w:r>
            <w:rPr>
              <w:rFonts w:hint="eastAsia" w:ascii="等线" w:hAnsi="等线" w:eastAsia="等线" w:cs="等线"/>
            </w:rPr>
            <w:fldChar w:fldCharType="separate"/>
          </w:r>
          <w:r>
            <w:fldChar w:fldCharType="begin"/>
          </w:r>
          <w:r>
            <w:instrText xml:space="preserve"> HYPERLINK \l "_Toc16465" </w:instrText>
          </w:r>
          <w:r>
            <w:fldChar w:fldCharType="separate"/>
          </w:r>
          <w:r>
            <w:rPr>
              <w:rFonts w:hint="eastAsia" w:ascii="等线" w:hAnsi="等线" w:eastAsia="等线" w:cs="等线"/>
            </w:rPr>
            <w:t>1. 业务流程</w:t>
          </w:r>
          <w:r>
            <w:rPr>
              <w:rFonts w:hint="eastAsia" w:ascii="等线" w:hAnsi="等线" w:eastAsia="等线" w:cs="等线"/>
            </w:rPr>
            <w:tab/>
          </w:r>
          <w:r>
            <w:rPr>
              <w:rFonts w:hint="eastAsia" w:ascii="等线" w:hAnsi="等线" w:eastAsia="等线" w:cs="等线"/>
            </w:rPr>
            <w:fldChar w:fldCharType="begin"/>
          </w:r>
          <w:r>
            <w:rPr>
              <w:rFonts w:hint="eastAsia" w:ascii="等线" w:hAnsi="等线" w:eastAsia="等线" w:cs="等线"/>
            </w:rPr>
            <w:instrText xml:space="preserve"> PAGEREF _Toc16465 \h </w:instrText>
          </w:r>
          <w:r>
            <w:rPr>
              <w:rFonts w:hint="eastAsia" w:ascii="等线" w:hAnsi="等线" w:eastAsia="等线" w:cs="等线"/>
            </w:rPr>
            <w:fldChar w:fldCharType="separate"/>
          </w:r>
          <w:r>
            <w:rPr>
              <w:rFonts w:hint="eastAsia" w:ascii="等线" w:hAnsi="等线" w:eastAsia="等线" w:cs="等线"/>
            </w:rPr>
            <w:t>3</w:t>
          </w:r>
          <w:r>
            <w:rPr>
              <w:rFonts w:hint="eastAsia" w:ascii="等线" w:hAnsi="等线" w:eastAsia="等线" w:cs="等线"/>
            </w:rPr>
            <w:fldChar w:fldCharType="end"/>
          </w:r>
          <w:r>
            <w:rPr>
              <w:rFonts w:hint="eastAsia" w:ascii="等线" w:hAnsi="等线" w:eastAsia="等线" w:cs="等线"/>
            </w:rPr>
            <w:fldChar w:fldCharType="end"/>
          </w:r>
        </w:p>
        <w:p w14:paraId="0F8C6934">
          <w:pPr>
            <w:pStyle w:val="9"/>
            <w:tabs>
              <w:tab w:val="right" w:leader="dot" w:pos="8306"/>
            </w:tabs>
            <w:rPr>
              <w:rFonts w:hint="eastAsia" w:ascii="等线" w:hAnsi="等线" w:eastAsia="等线" w:cs="等线"/>
            </w:rPr>
          </w:pPr>
          <w:r>
            <w:fldChar w:fldCharType="begin"/>
          </w:r>
          <w:r>
            <w:instrText xml:space="preserve"> HYPERLINK \l "_Toc6603" </w:instrText>
          </w:r>
          <w:r>
            <w:fldChar w:fldCharType="separate"/>
          </w:r>
          <w:r>
            <w:rPr>
              <w:rFonts w:hint="eastAsia" w:ascii="等线" w:hAnsi="等线" w:eastAsia="等线" w:cs="等线"/>
            </w:rPr>
            <w:t>2. 科研规划课题项目申报</w:t>
          </w:r>
          <w:r>
            <w:rPr>
              <w:rFonts w:hint="eastAsia" w:ascii="等线" w:hAnsi="等线" w:eastAsia="等线" w:cs="等线"/>
            </w:rPr>
            <w:tab/>
          </w:r>
          <w:r>
            <w:rPr>
              <w:rFonts w:hint="eastAsia" w:ascii="等线" w:hAnsi="等线" w:eastAsia="等线" w:cs="等线"/>
            </w:rPr>
            <w:fldChar w:fldCharType="begin"/>
          </w:r>
          <w:r>
            <w:rPr>
              <w:rFonts w:hint="eastAsia" w:ascii="等线" w:hAnsi="等线" w:eastAsia="等线" w:cs="等线"/>
            </w:rPr>
            <w:instrText xml:space="preserve"> PAGEREF _Toc6603 \h </w:instrText>
          </w:r>
          <w:r>
            <w:rPr>
              <w:rFonts w:hint="eastAsia" w:ascii="等线" w:hAnsi="等线" w:eastAsia="等线" w:cs="等线"/>
            </w:rPr>
            <w:fldChar w:fldCharType="separate"/>
          </w:r>
          <w:r>
            <w:rPr>
              <w:rFonts w:hint="eastAsia" w:ascii="等线" w:hAnsi="等线" w:eastAsia="等线" w:cs="等线"/>
            </w:rPr>
            <w:t>3</w:t>
          </w:r>
          <w:r>
            <w:rPr>
              <w:rFonts w:hint="eastAsia" w:ascii="等线" w:hAnsi="等线" w:eastAsia="等线" w:cs="等线"/>
            </w:rPr>
            <w:fldChar w:fldCharType="end"/>
          </w:r>
          <w:r>
            <w:rPr>
              <w:rFonts w:hint="eastAsia" w:ascii="等线" w:hAnsi="等线" w:eastAsia="等线" w:cs="等线"/>
            </w:rPr>
            <w:fldChar w:fldCharType="end"/>
          </w:r>
        </w:p>
        <w:p w14:paraId="18AC980E">
          <w:pPr>
            <w:pStyle w:val="9"/>
            <w:tabs>
              <w:tab w:val="right" w:leader="dot" w:pos="8306"/>
            </w:tabs>
            <w:rPr>
              <w:rFonts w:hint="eastAsia" w:ascii="等线" w:hAnsi="等线" w:eastAsia="等线" w:cs="等线"/>
            </w:rPr>
          </w:pPr>
          <w:r>
            <w:fldChar w:fldCharType="begin"/>
          </w:r>
          <w:r>
            <w:instrText xml:space="preserve"> HYPERLINK \l "_Toc2558" </w:instrText>
          </w:r>
          <w:r>
            <w:fldChar w:fldCharType="separate"/>
          </w:r>
          <w:r>
            <w:rPr>
              <w:rFonts w:hint="eastAsia" w:ascii="等线" w:hAnsi="等线" w:eastAsia="等线" w:cs="等线"/>
            </w:rPr>
            <w:t>3. 立项后提交开题、中检、结题资料</w:t>
          </w:r>
          <w:r>
            <w:rPr>
              <w:rFonts w:hint="eastAsia" w:ascii="等线" w:hAnsi="等线" w:eastAsia="等线" w:cs="等线"/>
            </w:rPr>
            <w:tab/>
          </w:r>
          <w:r>
            <w:rPr>
              <w:rFonts w:hint="eastAsia" w:ascii="等线" w:hAnsi="等线" w:eastAsia="等线" w:cs="等线"/>
            </w:rPr>
            <w:fldChar w:fldCharType="begin"/>
          </w:r>
          <w:r>
            <w:rPr>
              <w:rFonts w:hint="eastAsia" w:ascii="等线" w:hAnsi="等线" w:eastAsia="等线" w:cs="等线"/>
            </w:rPr>
            <w:instrText xml:space="preserve"> PAGEREF _Toc2558 \h </w:instrText>
          </w:r>
          <w:r>
            <w:rPr>
              <w:rFonts w:hint="eastAsia" w:ascii="等线" w:hAnsi="等线" w:eastAsia="等线" w:cs="等线"/>
            </w:rPr>
            <w:fldChar w:fldCharType="separate"/>
          </w:r>
          <w:r>
            <w:rPr>
              <w:rFonts w:hint="eastAsia" w:ascii="等线" w:hAnsi="等线" w:eastAsia="等线" w:cs="等线"/>
            </w:rPr>
            <w:t>7</w:t>
          </w:r>
          <w:r>
            <w:rPr>
              <w:rFonts w:hint="eastAsia" w:ascii="等线" w:hAnsi="等线" w:eastAsia="等线" w:cs="等线"/>
            </w:rPr>
            <w:fldChar w:fldCharType="end"/>
          </w:r>
          <w:r>
            <w:rPr>
              <w:rFonts w:hint="eastAsia" w:ascii="等线" w:hAnsi="等线" w:eastAsia="等线" w:cs="等线"/>
            </w:rPr>
            <w:fldChar w:fldCharType="end"/>
          </w:r>
        </w:p>
        <w:p w14:paraId="3052125A">
          <w:pPr>
            <w:pStyle w:val="9"/>
            <w:tabs>
              <w:tab w:val="right" w:leader="dot" w:pos="8306"/>
            </w:tabs>
            <w:rPr>
              <w:rFonts w:hint="eastAsia" w:ascii="等线" w:hAnsi="等线" w:eastAsia="等线" w:cs="等线"/>
            </w:rPr>
          </w:pPr>
          <w:r>
            <w:fldChar w:fldCharType="begin"/>
          </w:r>
          <w:r>
            <w:instrText xml:space="preserve"> HYPERLINK \l "_Toc19312" </w:instrText>
          </w:r>
          <w:r>
            <w:fldChar w:fldCharType="separate"/>
          </w:r>
          <w:r>
            <w:rPr>
              <w:rFonts w:hint="eastAsia" w:ascii="等线" w:hAnsi="等线" w:eastAsia="等线" w:cs="等线"/>
            </w:rPr>
            <w:t>4. 立项后变更</w:t>
          </w:r>
          <w:r>
            <w:rPr>
              <w:rFonts w:hint="eastAsia" w:ascii="等线" w:hAnsi="等线" w:eastAsia="等线" w:cs="等线"/>
            </w:rPr>
            <w:tab/>
          </w:r>
          <w:r>
            <w:rPr>
              <w:rFonts w:hint="eastAsia" w:ascii="等线" w:hAnsi="等线" w:eastAsia="等线" w:cs="等线"/>
            </w:rPr>
            <w:fldChar w:fldCharType="begin"/>
          </w:r>
          <w:r>
            <w:rPr>
              <w:rFonts w:hint="eastAsia" w:ascii="等线" w:hAnsi="等线" w:eastAsia="等线" w:cs="等线"/>
            </w:rPr>
            <w:instrText xml:space="preserve"> PAGEREF _Toc19312 \h </w:instrText>
          </w:r>
          <w:r>
            <w:rPr>
              <w:rFonts w:hint="eastAsia" w:ascii="等线" w:hAnsi="等线" w:eastAsia="等线" w:cs="等线"/>
            </w:rPr>
            <w:fldChar w:fldCharType="separate"/>
          </w:r>
          <w:r>
            <w:rPr>
              <w:rFonts w:hint="eastAsia" w:ascii="等线" w:hAnsi="等线" w:eastAsia="等线" w:cs="等线"/>
            </w:rPr>
            <w:t>8</w:t>
          </w:r>
          <w:r>
            <w:rPr>
              <w:rFonts w:hint="eastAsia" w:ascii="等线" w:hAnsi="等线" w:eastAsia="等线" w:cs="等线"/>
            </w:rPr>
            <w:fldChar w:fldCharType="end"/>
          </w:r>
          <w:r>
            <w:rPr>
              <w:rFonts w:hint="eastAsia" w:ascii="等线" w:hAnsi="等线" w:eastAsia="等线" w:cs="等线"/>
            </w:rPr>
            <w:fldChar w:fldCharType="end"/>
          </w:r>
        </w:p>
        <w:p w14:paraId="5796C230">
          <w:pPr>
            <w:pStyle w:val="9"/>
            <w:tabs>
              <w:tab w:val="right" w:leader="dot" w:pos="8306"/>
            </w:tabs>
            <w:rPr>
              <w:rFonts w:hint="eastAsia" w:ascii="等线" w:hAnsi="等线" w:eastAsia="等线" w:cs="等线"/>
            </w:rPr>
          </w:pPr>
          <w:r>
            <w:fldChar w:fldCharType="begin"/>
          </w:r>
          <w:r>
            <w:instrText xml:space="preserve"> HYPERLINK \l "_Toc31015" </w:instrText>
          </w:r>
          <w:r>
            <w:fldChar w:fldCharType="separate"/>
          </w:r>
          <w:r>
            <w:rPr>
              <w:rFonts w:hint="eastAsia" w:ascii="等线" w:hAnsi="等线" w:eastAsia="等线" w:cs="等线"/>
            </w:rPr>
            <w:t>5. 移动端</w:t>
          </w:r>
          <w:r>
            <w:rPr>
              <w:rFonts w:hint="eastAsia" w:ascii="等线" w:hAnsi="等线" w:eastAsia="等线" w:cs="等线"/>
            </w:rPr>
            <w:tab/>
          </w:r>
          <w:r>
            <w:rPr>
              <w:rFonts w:hint="eastAsia" w:ascii="等线" w:hAnsi="等线" w:eastAsia="等线" w:cs="等线"/>
            </w:rPr>
            <w:fldChar w:fldCharType="begin"/>
          </w:r>
          <w:r>
            <w:rPr>
              <w:rFonts w:hint="eastAsia" w:ascii="等线" w:hAnsi="等线" w:eastAsia="等线" w:cs="等线"/>
            </w:rPr>
            <w:instrText xml:space="preserve"> PAGEREF _Toc31015 \h </w:instrText>
          </w:r>
          <w:r>
            <w:rPr>
              <w:rFonts w:hint="eastAsia" w:ascii="等线" w:hAnsi="等线" w:eastAsia="等线" w:cs="等线"/>
            </w:rPr>
            <w:fldChar w:fldCharType="separate"/>
          </w:r>
          <w:r>
            <w:rPr>
              <w:rFonts w:hint="eastAsia" w:ascii="等线" w:hAnsi="等线" w:eastAsia="等线" w:cs="等线"/>
            </w:rPr>
            <w:t>9</w:t>
          </w:r>
          <w:r>
            <w:rPr>
              <w:rFonts w:hint="eastAsia" w:ascii="等线" w:hAnsi="等线" w:eastAsia="等线" w:cs="等线"/>
            </w:rPr>
            <w:fldChar w:fldCharType="end"/>
          </w:r>
          <w:r>
            <w:rPr>
              <w:rFonts w:hint="eastAsia" w:ascii="等线" w:hAnsi="等线" w:eastAsia="等线" w:cs="等线"/>
            </w:rPr>
            <w:fldChar w:fldCharType="end"/>
          </w:r>
        </w:p>
        <w:p w14:paraId="4DA48DD1">
          <w:pPr>
            <w:autoSpaceDE/>
            <w:autoSpaceDN/>
            <w:spacing w:line="360" w:lineRule="auto"/>
            <w:rPr>
              <w:rFonts w:hint="eastAsia" w:ascii="等线" w:hAnsi="等线" w:eastAsia="等线" w:cs="等线"/>
              <w:lang w:val="en-US"/>
            </w:rPr>
          </w:pPr>
          <w:r>
            <w:rPr>
              <w:rFonts w:hint="eastAsia" w:ascii="等线" w:hAnsi="等线" w:eastAsia="等线" w:cs="等线"/>
              <w:lang w:val="en-US"/>
            </w:rPr>
            <w:fldChar w:fldCharType="end"/>
          </w:r>
        </w:p>
      </w:sdtContent>
    </w:sdt>
    <w:p w14:paraId="3CE177B9">
      <w:pPr>
        <w:autoSpaceDE/>
        <w:autoSpaceDN/>
        <w:spacing w:line="360" w:lineRule="auto"/>
        <w:ind w:firstLine="640" w:firstLineChars="200"/>
        <w:rPr>
          <w:rFonts w:hint="eastAsia" w:ascii="等线" w:hAnsi="等线" w:eastAsia="等线" w:cs="等线"/>
        </w:rPr>
      </w:pPr>
      <w:r>
        <w:rPr>
          <w:rFonts w:hint="eastAsia" w:ascii="等线" w:hAnsi="等线" w:eastAsia="等线" w:cs="等线"/>
          <w:b/>
          <w:sz w:val="32"/>
          <w:szCs w:val="32"/>
        </w:rPr>
        <w:br w:type="page"/>
      </w:r>
    </w:p>
    <w:p w14:paraId="30BAC428">
      <w:pPr>
        <w:pStyle w:val="2"/>
        <w:numPr>
          <w:ilvl w:val="0"/>
          <w:numId w:val="2"/>
        </w:numPr>
        <w:autoSpaceDE/>
        <w:autoSpaceDN/>
        <w:spacing w:line="360" w:lineRule="auto"/>
        <w:rPr>
          <w:rFonts w:hint="eastAsia" w:ascii="等线" w:hAnsi="等线" w:eastAsia="等线" w:cs="等线"/>
          <w:lang w:val="en-US"/>
        </w:rPr>
      </w:pPr>
      <w:bookmarkStart w:id="0" w:name="_Toc16465"/>
      <w:r>
        <w:rPr>
          <w:rFonts w:hint="eastAsia" w:ascii="等线" w:hAnsi="等线" w:eastAsia="等线" w:cs="等线"/>
          <w:lang w:val="en-US"/>
        </w:rPr>
        <w:t>业务流程</w:t>
      </w:r>
      <w:bookmarkEnd w:id="0"/>
    </w:p>
    <w:p w14:paraId="0804051B">
      <w:pPr>
        <w:autoSpaceDE/>
        <w:autoSpaceDN/>
        <w:spacing w:line="360" w:lineRule="auto"/>
        <w:rPr>
          <w:rFonts w:hint="eastAsia" w:ascii="等线" w:hAnsi="等线" w:eastAsia="等线" w:cs="等线"/>
          <w:sz w:val="24"/>
          <w:szCs w:val="24"/>
          <w:lang w:val="en-US"/>
        </w:rPr>
      </w:pPr>
      <w:r>
        <w:rPr>
          <w:rFonts w:hint="eastAsia" w:ascii="等线" w:hAnsi="等线" w:eastAsia="等线" w:cs="等线"/>
          <w:sz w:val="24"/>
          <w:szCs w:val="24"/>
          <w:lang w:val="en-US"/>
        </w:rPr>
        <w:drawing>
          <wp:inline distT="0" distB="0" distL="114300" distR="114300">
            <wp:extent cx="5362575" cy="3033395"/>
            <wp:effectExtent l="0" t="0" r="9525" b="14605"/>
            <wp:docPr id="4" name="F360BE8B-6686-4F3D-AEAF-501FE73E4058-1" descr="C:/Users/Administrator/AppData/Local/Temp/绘图1(1).png绘图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F360BE8B-6686-4F3D-AEAF-501FE73E4058-1" descr="C:/Users/Administrator/AppData/Local/Temp/绘图1(1).png绘图1(1)"/>
                    <pic:cNvPicPr>
                      <a:picLocks noChangeAspect="1"/>
                    </pic:cNvPicPr>
                  </pic:nvPicPr>
                  <pic:blipFill>
                    <a:blip r:embed="rId7"/>
                    <a:stretch>
                      <a:fillRect/>
                    </a:stretch>
                  </pic:blipFill>
                  <pic:spPr>
                    <a:xfrm>
                      <a:off x="0" y="0"/>
                      <a:ext cx="5362575" cy="3033395"/>
                    </a:xfrm>
                    <a:prstGeom prst="rect">
                      <a:avLst/>
                    </a:prstGeom>
                  </pic:spPr>
                </pic:pic>
              </a:graphicData>
            </a:graphic>
          </wp:inline>
        </w:drawing>
      </w:r>
    </w:p>
    <w:p w14:paraId="1D4496BB">
      <w:pPr>
        <w:autoSpaceDE/>
        <w:autoSpaceDN/>
        <w:spacing w:line="360" w:lineRule="auto"/>
        <w:ind w:firstLine="480" w:firstLineChars="200"/>
        <w:rPr>
          <w:rFonts w:hint="eastAsia" w:ascii="等线" w:hAnsi="等线" w:eastAsia="等线" w:cs="等线"/>
          <w:sz w:val="24"/>
          <w:szCs w:val="24"/>
          <w:lang w:val="en-US"/>
        </w:rPr>
      </w:pPr>
      <w:r>
        <w:rPr>
          <w:rFonts w:hint="eastAsia" w:ascii="等线" w:hAnsi="等线" w:eastAsia="等线" w:cs="等线"/>
          <w:sz w:val="24"/>
          <w:szCs w:val="24"/>
          <w:lang w:val="en-US"/>
        </w:rPr>
        <w:t>注：因开题、中检、结题环节在系统内是可以自定义配置的，如管理员未配置开题、中检、结题环节，则申报老师不需要提交对应阶段的资料。</w:t>
      </w:r>
    </w:p>
    <w:p w14:paraId="6B574711">
      <w:pPr>
        <w:pStyle w:val="2"/>
        <w:numPr>
          <w:ilvl w:val="0"/>
          <w:numId w:val="2"/>
        </w:numPr>
        <w:autoSpaceDE/>
        <w:autoSpaceDN/>
        <w:spacing w:line="360" w:lineRule="auto"/>
        <w:rPr>
          <w:rFonts w:hint="eastAsia" w:ascii="等线" w:hAnsi="等线" w:eastAsia="等线" w:cs="等线"/>
          <w:b w:val="0"/>
          <w:lang w:val="en-US"/>
        </w:rPr>
      </w:pPr>
      <w:bookmarkStart w:id="1" w:name="_Toc6603"/>
      <w:r>
        <w:rPr>
          <w:rFonts w:hint="eastAsia" w:ascii="等线" w:hAnsi="等线" w:eastAsia="等线" w:cs="等线"/>
          <w:lang w:val="en-US"/>
        </w:rPr>
        <w:t>科研规划课题项目申报</w:t>
      </w:r>
      <w:bookmarkEnd w:id="1"/>
    </w:p>
    <w:p w14:paraId="0E4E4DCA">
      <w:pPr>
        <w:autoSpaceDE/>
        <w:autoSpaceDN/>
        <w:spacing w:line="360" w:lineRule="auto"/>
        <w:ind w:firstLine="480" w:firstLineChars="200"/>
        <w:rPr>
          <w:rFonts w:hint="eastAsia" w:ascii="等线" w:hAnsi="等线" w:eastAsia="等线" w:cs="等线"/>
          <w:sz w:val="24"/>
          <w:szCs w:val="24"/>
          <w:lang w:val="en-US"/>
        </w:rPr>
      </w:pPr>
      <w:r>
        <w:rPr>
          <w:rFonts w:hint="eastAsia" w:ascii="等线" w:hAnsi="等线" w:eastAsia="等线" w:cs="等线"/>
          <w:sz w:val="24"/>
          <w:szCs w:val="24"/>
          <w:lang w:val="en-US"/>
        </w:rPr>
        <w:t>申报老师使用本单位提供的账号登录系统，登录成功后会跳转至申报人首页；</w:t>
      </w:r>
    </w:p>
    <w:p w14:paraId="6D0B0689">
      <w:pPr>
        <w:autoSpaceDE/>
        <w:autoSpaceDN/>
        <w:spacing w:line="360" w:lineRule="auto"/>
        <w:rPr>
          <w:rFonts w:hint="eastAsia" w:ascii="等线" w:hAnsi="等线" w:eastAsia="等线" w:cs="等线"/>
          <w:lang w:val="en-US"/>
        </w:rPr>
      </w:pPr>
      <w:r>
        <w:rPr>
          <w:rFonts w:hint="eastAsia" w:ascii="等线" w:hAnsi="等线" w:eastAsia="等线" w:cs="等线"/>
        </w:rPr>
        <w:drawing>
          <wp:inline distT="0" distB="0" distL="114300" distR="114300">
            <wp:extent cx="5266690" cy="2583815"/>
            <wp:effectExtent l="9525" t="9525" r="19685" b="16510"/>
            <wp:docPr id="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
                    <pic:cNvPicPr>
                      <a:picLocks noChangeAspect="1"/>
                    </pic:cNvPicPr>
                  </pic:nvPicPr>
                  <pic:blipFill>
                    <a:blip r:embed="rId8"/>
                    <a:stretch>
                      <a:fillRect/>
                    </a:stretch>
                  </pic:blipFill>
                  <pic:spPr>
                    <a:xfrm>
                      <a:off x="0" y="0"/>
                      <a:ext cx="5266690" cy="2583815"/>
                    </a:xfrm>
                    <a:prstGeom prst="rect">
                      <a:avLst/>
                    </a:prstGeom>
                    <a:noFill/>
                    <a:ln>
                      <a:solidFill>
                        <a:schemeClr val="bg1">
                          <a:lumMod val="85000"/>
                        </a:schemeClr>
                      </a:solidFill>
                    </a:ln>
                  </pic:spPr>
                </pic:pic>
              </a:graphicData>
            </a:graphic>
          </wp:inline>
        </w:drawing>
      </w:r>
    </w:p>
    <w:p w14:paraId="5B06B2E6">
      <w:pPr>
        <w:autoSpaceDE/>
        <w:autoSpaceDN/>
        <w:spacing w:line="360" w:lineRule="auto"/>
        <w:ind w:firstLine="480" w:firstLineChars="200"/>
        <w:rPr>
          <w:rFonts w:hint="eastAsia" w:ascii="等线" w:hAnsi="等线" w:eastAsia="等线" w:cs="等线"/>
          <w:sz w:val="24"/>
          <w:szCs w:val="24"/>
          <w:lang w:val="en-US"/>
        </w:rPr>
      </w:pPr>
      <w:r>
        <w:rPr>
          <w:rFonts w:hint="eastAsia" w:ascii="等线" w:hAnsi="等线" w:eastAsia="等线" w:cs="等线"/>
          <w:sz w:val="24"/>
          <w:szCs w:val="24"/>
          <w:lang w:val="en-US"/>
        </w:rPr>
        <w:t>首页下方区域为本人所有已申报/参与项目列表，右侧为科研规划课题申报计划区域。点击【资料模板】按钮，可以查看对应的申报/开题/中检/结题文档模版；点击【申报说明】按钮，可以查看对应的申报说明内容。</w:t>
      </w:r>
    </w:p>
    <w:p w14:paraId="2B0A0895">
      <w:pPr>
        <w:autoSpaceDE/>
        <w:autoSpaceDN/>
        <w:spacing w:line="360" w:lineRule="auto"/>
        <w:rPr>
          <w:rFonts w:hint="eastAsia" w:ascii="等线" w:hAnsi="等线" w:eastAsia="等线" w:cs="等线"/>
        </w:rPr>
      </w:pPr>
      <w:r>
        <w:rPr>
          <w:rFonts w:hint="eastAsia" w:ascii="等线" w:hAnsi="等线" w:eastAsia="等线" w:cs="等线"/>
        </w:rPr>
        <w:drawing>
          <wp:inline distT="0" distB="0" distL="114300" distR="114300">
            <wp:extent cx="5266690" cy="2583815"/>
            <wp:effectExtent l="9525" t="9525" r="19685" b="16510"/>
            <wp:docPr id="7"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2"/>
                    <pic:cNvPicPr>
                      <a:picLocks noChangeAspect="1"/>
                    </pic:cNvPicPr>
                  </pic:nvPicPr>
                  <pic:blipFill>
                    <a:blip r:embed="rId9"/>
                    <a:stretch>
                      <a:fillRect/>
                    </a:stretch>
                  </pic:blipFill>
                  <pic:spPr>
                    <a:xfrm>
                      <a:off x="0" y="0"/>
                      <a:ext cx="5266690" cy="2583815"/>
                    </a:xfrm>
                    <a:prstGeom prst="rect">
                      <a:avLst/>
                    </a:prstGeom>
                    <a:noFill/>
                    <a:ln>
                      <a:solidFill>
                        <a:schemeClr val="bg1">
                          <a:lumMod val="85000"/>
                        </a:schemeClr>
                      </a:solidFill>
                    </a:ln>
                  </pic:spPr>
                </pic:pic>
              </a:graphicData>
            </a:graphic>
          </wp:inline>
        </w:drawing>
      </w:r>
    </w:p>
    <w:p w14:paraId="3AF80C9A">
      <w:pPr>
        <w:autoSpaceDE/>
        <w:autoSpaceDN/>
        <w:spacing w:line="360" w:lineRule="auto"/>
        <w:ind w:firstLine="480" w:firstLineChars="200"/>
        <w:rPr>
          <w:rFonts w:hint="eastAsia" w:ascii="等线" w:hAnsi="等线" w:eastAsia="等线" w:cs="等线"/>
          <w:sz w:val="24"/>
          <w:szCs w:val="24"/>
          <w:lang w:val="en-US"/>
        </w:rPr>
      </w:pPr>
      <w:r>
        <w:rPr>
          <w:rFonts w:hint="eastAsia" w:ascii="等线" w:hAnsi="等线" w:eastAsia="等线" w:cs="等线"/>
          <w:sz w:val="24"/>
          <w:szCs w:val="24"/>
          <w:lang w:val="en-US"/>
        </w:rPr>
        <w:t>在申报计划规定的申报时间内（超过时间不可申报），点击【申报项目】按钮，可以打开科研规划课题项目申报窗口，填写完相关信息、上传附件后，点击【暂存】按钮可以将当前申报的项目信息暂存草稿（暂存草稿的项目可以再次编辑信息）；点击【提交】按钮可以将当前申报的项目直接提交送审。</w:t>
      </w:r>
    </w:p>
    <w:p w14:paraId="59084CEE">
      <w:pPr>
        <w:autoSpaceDE/>
        <w:autoSpaceDN/>
        <w:spacing w:line="360" w:lineRule="auto"/>
        <w:rPr>
          <w:rFonts w:hint="eastAsia" w:ascii="等线" w:hAnsi="等线" w:eastAsia="等线" w:cs="等线"/>
        </w:rPr>
      </w:pPr>
      <w:r>
        <w:rPr>
          <w:rFonts w:hint="eastAsia" w:ascii="等线" w:hAnsi="等线" w:eastAsia="等线" w:cs="等线"/>
        </w:rPr>
        <w:drawing>
          <wp:inline distT="0" distB="0" distL="114300" distR="114300">
            <wp:extent cx="5266690" cy="2583815"/>
            <wp:effectExtent l="9525" t="9525" r="19685" b="16510"/>
            <wp:docPr id="8"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3"/>
                    <pic:cNvPicPr>
                      <a:picLocks noChangeAspect="1"/>
                    </pic:cNvPicPr>
                  </pic:nvPicPr>
                  <pic:blipFill>
                    <a:blip r:embed="rId10"/>
                    <a:stretch>
                      <a:fillRect/>
                    </a:stretch>
                  </pic:blipFill>
                  <pic:spPr>
                    <a:xfrm>
                      <a:off x="0" y="0"/>
                      <a:ext cx="5266690" cy="2583815"/>
                    </a:xfrm>
                    <a:prstGeom prst="rect">
                      <a:avLst/>
                    </a:prstGeom>
                    <a:noFill/>
                    <a:ln>
                      <a:solidFill>
                        <a:schemeClr val="bg1">
                          <a:lumMod val="85000"/>
                        </a:schemeClr>
                      </a:solidFill>
                    </a:ln>
                  </pic:spPr>
                </pic:pic>
              </a:graphicData>
            </a:graphic>
          </wp:inline>
        </w:drawing>
      </w:r>
    </w:p>
    <w:p w14:paraId="2E7C3043">
      <w:pPr>
        <w:autoSpaceDE/>
        <w:autoSpaceDN/>
        <w:spacing w:line="360" w:lineRule="auto"/>
        <w:ind w:firstLine="480" w:firstLineChars="200"/>
        <w:rPr>
          <w:rFonts w:hint="eastAsia" w:ascii="等线" w:hAnsi="等线" w:eastAsia="等线" w:cs="等线"/>
        </w:rPr>
      </w:pPr>
      <w:r>
        <w:rPr>
          <w:rFonts w:hint="eastAsia" w:ascii="等线" w:hAnsi="等线" w:eastAsia="等线" w:cs="等线"/>
          <w:sz w:val="24"/>
          <w:szCs w:val="24"/>
          <w:lang w:val="en-US"/>
        </w:rPr>
        <w:t>提交送审后，项目将会进入形式审核流程，申报老师在系统首页可随时查看项目当前所处阶段及阶段的审核状态。</w:t>
      </w:r>
    </w:p>
    <w:p w14:paraId="6D544018">
      <w:pPr>
        <w:autoSpaceDE/>
        <w:autoSpaceDN/>
        <w:spacing w:line="360" w:lineRule="auto"/>
        <w:rPr>
          <w:rFonts w:hint="eastAsia" w:ascii="等线" w:hAnsi="等线" w:eastAsia="等线" w:cs="等线"/>
        </w:rPr>
      </w:pPr>
      <w:r>
        <w:rPr>
          <w:rFonts w:hint="eastAsia" w:ascii="等线" w:hAnsi="等线" w:eastAsia="等线" w:cs="等线"/>
        </w:rPr>
        <w:drawing>
          <wp:inline distT="0" distB="0" distL="114300" distR="114300">
            <wp:extent cx="5266690" cy="2583815"/>
            <wp:effectExtent l="9525" t="9525" r="19685" b="16510"/>
            <wp:docPr id="9"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4"/>
                    <pic:cNvPicPr>
                      <a:picLocks noChangeAspect="1"/>
                    </pic:cNvPicPr>
                  </pic:nvPicPr>
                  <pic:blipFill>
                    <a:blip r:embed="rId11"/>
                    <a:stretch>
                      <a:fillRect/>
                    </a:stretch>
                  </pic:blipFill>
                  <pic:spPr>
                    <a:xfrm>
                      <a:off x="0" y="0"/>
                      <a:ext cx="5266690" cy="2583815"/>
                    </a:xfrm>
                    <a:prstGeom prst="rect">
                      <a:avLst/>
                    </a:prstGeom>
                    <a:noFill/>
                    <a:ln>
                      <a:solidFill>
                        <a:schemeClr val="bg1">
                          <a:lumMod val="85000"/>
                        </a:schemeClr>
                      </a:solidFill>
                    </a:ln>
                  </pic:spPr>
                </pic:pic>
              </a:graphicData>
            </a:graphic>
          </wp:inline>
        </w:drawing>
      </w:r>
    </w:p>
    <w:p w14:paraId="542BDD0B">
      <w:pPr>
        <w:autoSpaceDE/>
        <w:autoSpaceDN/>
        <w:spacing w:line="360" w:lineRule="auto"/>
        <w:ind w:firstLine="480" w:firstLineChars="200"/>
        <w:rPr>
          <w:rFonts w:hint="eastAsia" w:ascii="等线" w:hAnsi="等线" w:eastAsia="等线" w:cs="等线"/>
          <w:sz w:val="24"/>
          <w:szCs w:val="24"/>
          <w:lang w:val="en-US"/>
        </w:rPr>
      </w:pPr>
      <w:r>
        <w:rPr>
          <w:rFonts w:hint="eastAsia" w:ascii="等线" w:hAnsi="等线" w:eastAsia="等线" w:cs="等线"/>
          <w:sz w:val="24"/>
          <w:szCs w:val="24"/>
          <w:lang w:val="en-US"/>
        </w:rPr>
        <w:t>如果发现送审的项目信息有误，在下一个审核节点没有审核的情况下，申报老师可以通过点击【撤回】按钮将已送审的申报记录撤回。申报记录撤回后变为草稿状态，申报老师可以通过点击【编辑】按钮修改项目信息，修改完成后再次提交送审即可。</w:t>
      </w:r>
    </w:p>
    <w:p w14:paraId="31CBC072">
      <w:pPr>
        <w:autoSpaceDE/>
        <w:autoSpaceDN/>
        <w:spacing w:line="360" w:lineRule="auto"/>
        <w:rPr>
          <w:rFonts w:hint="eastAsia" w:ascii="等线" w:hAnsi="等线" w:eastAsia="等线" w:cs="等线"/>
          <w:lang w:val="en-US"/>
        </w:rPr>
      </w:pPr>
      <w:r>
        <w:rPr>
          <w:rFonts w:hint="eastAsia" w:ascii="等线" w:hAnsi="等线" w:eastAsia="等线" w:cs="等线"/>
        </w:rPr>
        <w:drawing>
          <wp:inline distT="0" distB="0" distL="114300" distR="114300">
            <wp:extent cx="5266690" cy="2583815"/>
            <wp:effectExtent l="9525" t="9525" r="19685" b="16510"/>
            <wp:docPr id="10"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7"/>
                    <pic:cNvPicPr>
                      <a:picLocks noChangeAspect="1"/>
                    </pic:cNvPicPr>
                  </pic:nvPicPr>
                  <pic:blipFill>
                    <a:blip r:embed="rId12"/>
                    <a:stretch>
                      <a:fillRect/>
                    </a:stretch>
                  </pic:blipFill>
                  <pic:spPr>
                    <a:xfrm>
                      <a:off x="0" y="0"/>
                      <a:ext cx="5266690" cy="2583815"/>
                    </a:xfrm>
                    <a:prstGeom prst="rect">
                      <a:avLst/>
                    </a:prstGeom>
                    <a:noFill/>
                    <a:ln>
                      <a:solidFill>
                        <a:schemeClr val="bg1">
                          <a:lumMod val="85000"/>
                        </a:schemeClr>
                      </a:solidFill>
                    </a:ln>
                  </pic:spPr>
                </pic:pic>
              </a:graphicData>
            </a:graphic>
          </wp:inline>
        </w:drawing>
      </w:r>
    </w:p>
    <w:p w14:paraId="70A299E5">
      <w:pPr>
        <w:autoSpaceDE/>
        <w:autoSpaceDN/>
        <w:spacing w:line="360" w:lineRule="auto"/>
        <w:ind w:firstLine="480" w:firstLineChars="200"/>
        <w:rPr>
          <w:rFonts w:hint="eastAsia" w:ascii="等线" w:hAnsi="等线" w:eastAsia="等线" w:cs="等线"/>
          <w:lang w:val="en-US"/>
        </w:rPr>
      </w:pPr>
      <w:r>
        <w:rPr>
          <w:rFonts w:hint="eastAsia" w:ascii="等线" w:hAnsi="等线" w:eastAsia="等线" w:cs="等线"/>
          <w:sz w:val="24"/>
          <w:szCs w:val="24"/>
          <w:lang w:val="en-US"/>
        </w:rPr>
        <w:t>撤回后如果不想再申报了，也可以点击【删除】按钮删除申报记录。</w:t>
      </w:r>
    </w:p>
    <w:p w14:paraId="28F6E725">
      <w:pPr>
        <w:autoSpaceDE/>
        <w:autoSpaceDN/>
        <w:spacing w:line="360" w:lineRule="auto"/>
        <w:rPr>
          <w:rFonts w:hint="eastAsia" w:ascii="等线" w:hAnsi="等线" w:eastAsia="等线" w:cs="等线"/>
          <w:sz w:val="24"/>
          <w:szCs w:val="24"/>
          <w:lang w:val="en-US"/>
        </w:rPr>
      </w:pPr>
      <w:r>
        <w:rPr>
          <w:rFonts w:hint="eastAsia" w:ascii="等线" w:hAnsi="等线" w:eastAsia="等线" w:cs="等线"/>
        </w:rPr>
        <w:drawing>
          <wp:inline distT="0" distB="0" distL="114300" distR="114300">
            <wp:extent cx="5266690" cy="2583815"/>
            <wp:effectExtent l="9525" t="9525" r="19685" b="16510"/>
            <wp:docPr id="11"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8"/>
                    <pic:cNvPicPr>
                      <a:picLocks noChangeAspect="1"/>
                    </pic:cNvPicPr>
                  </pic:nvPicPr>
                  <pic:blipFill>
                    <a:blip r:embed="rId13"/>
                    <a:stretch>
                      <a:fillRect/>
                    </a:stretch>
                  </pic:blipFill>
                  <pic:spPr>
                    <a:xfrm>
                      <a:off x="0" y="0"/>
                      <a:ext cx="5266690" cy="2583815"/>
                    </a:xfrm>
                    <a:prstGeom prst="rect">
                      <a:avLst/>
                    </a:prstGeom>
                    <a:noFill/>
                    <a:ln>
                      <a:solidFill>
                        <a:schemeClr val="bg1">
                          <a:lumMod val="85000"/>
                        </a:schemeClr>
                      </a:solidFill>
                    </a:ln>
                  </pic:spPr>
                </pic:pic>
              </a:graphicData>
            </a:graphic>
          </wp:inline>
        </w:drawing>
      </w:r>
    </w:p>
    <w:p w14:paraId="230E4126">
      <w:pPr>
        <w:autoSpaceDE/>
        <w:autoSpaceDN/>
        <w:spacing w:line="360" w:lineRule="auto"/>
        <w:ind w:firstLine="480" w:firstLineChars="200"/>
        <w:rPr>
          <w:rFonts w:hint="eastAsia" w:ascii="等线" w:hAnsi="等线" w:eastAsia="等线" w:cs="等线"/>
          <w:sz w:val="24"/>
          <w:szCs w:val="24"/>
          <w:lang w:val="en-US"/>
        </w:rPr>
      </w:pPr>
      <w:r>
        <w:rPr>
          <w:rFonts w:hint="eastAsia" w:ascii="等线" w:hAnsi="等线" w:eastAsia="等线" w:cs="等线"/>
          <w:sz w:val="24"/>
          <w:szCs w:val="24"/>
          <w:lang w:val="en-US"/>
        </w:rPr>
        <w:t>项目审核通过后，可能会进入线上/线下专家评审流程，评审完成后，申报老师可在系统内查看最终的立项结论。</w:t>
      </w:r>
    </w:p>
    <w:p w14:paraId="74E605F3">
      <w:pPr>
        <w:autoSpaceDE/>
        <w:autoSpaceDN/>
        <w:spacing w:line="360" w:lineRule="auto"/>
        <w:ind w:firstLine="420" w:firstLineChars="200"/>
        <w:rPr>
          <w:rFonts w:hint="eastAsia" w:ascii="等线" w:hAnsi="等线" w:eastAsia="等线" w:cs="等线"/>
          <w:sz w:val="24"/>
          <w:szCs w:val="24"/>
          <w:lang w:val="en-US"/>
        </w:rPr>
      </w:pPr>
      <w:r>
        <w:rPr>
          <w:rFonts w:hint="eastAsia" w:ascii="等线" w:hAnsi="等线" w:eastAsia="等线" w:cs="等线"/>
          <w:lang w:val="en-US"/>
        </w:rPr>
        <w:t>注：最终立项通过的项目才可以进入后面的开题、中检、结题流程。</w:t>
      </w:r>
      <w:r>
        <w:rPr>
          <w:rFonts w:hint="eastAsia" w:ascii="等线" w:hAnsi="等线" w:eastAsia="等线" w:cs="等线"/>
        </w:rPr>
        <w:drawing>
          <wp:inline distT="0" distB="0" distL="114300" distR="114300">
            <wp:extent cx="5266690" cy="2583815"/>
            <wp:effectExtent l="9525" t="9525" r="19685" b="16510"/>
            <wp:docPr id="12"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5"/>
                    <pic:cNvPicPr>
                      <a:picLocks noChangeAspect="1"/>
                    </pic:cNvPicPr>
                  </pic:nvPicPr>
                  <pic:blipFill>
                    <a:blip r:embed="rId14"/>
                    <a:stretch>
                      <a:fillRect/>
                    </a:stretch>
                  </pic:blipFill>
                  <pic:spPr>
                    <a:xfrm>
                      <a:off x="0" y="0"/>
                      <a:ext cx="5266690" cy="2583815"/>
                    </a:xfrm>
                    <a:prstGeom prst="rect">
                      <a:avLst/>
                    </a:prstGeom>
                    <a:noFill/>
                    <a:ln>
                      <a:solidFill>
                        <a:schemeClr val="bg1">
                          <a:lumMod val="85000"/>
                        </a:schemeClr>
                      </a:solidFill>
                    </a:ln>
                  </pic:spPr>
                </pic:pic>
              </a:graphicData>
            </a:graphic>
          </wp:inline>
        </w:drawing>
      </w:r>
    </w:p>
    <w:p w14:paraId="377F2F7E">
      <w:pPr>
        <w:autoSpaceDE/>
        <w:autoSpaceDN/>
        <w:spacing w:line="360" w:lineRule="auto"/>
        <w:ind w:firstLine="480" w:firstLineChars="200"/>
        <w:rPr>
          <w:rFonts w:hint="eastAsia" w:ascii="等线" w:hAnsi="等线" w:eastAsia="等线" w:cs="等线"/>
          <w:sz w:val="24"/>
          <w:szCs w:val="24"/>
          <w:lang w:val="en-US"/>
        </w:rPr>
      </w:pPr>
      <w:r>
        <w:rPr>
          <w:rFonts w:hint="eastAsia" w:ascii="等线" w:hAnsi="等线" w:eastAsia="等线" w:cs="等线"/>
          <w:sz w:val="24"/>
          <w:szCs w:val="24"/>
          <w:lang w:val="en-US"/>
        </w:rPr>
        <w:t>点击【查看】按钮，可随时查看项目的基本信息、各阶段提交的项目文档、各阶段审核历史、各阶段的最终结论、变更历史情况等。</w:t>
      </w:r>
    </w:p>
    <w:p w14:paraId="254DC420">
      <w:pPr>
        <w:autoSpaceDE/>
        <w:autoSpaceDN/>
        <w:spacing w:line="360" w:lineRule="auto"/>
        <w:rPr>
          <w:rFonts w:hint="eastAsia" w:ascii="等线" w:hAnsi="等线" w:eastAsia="等线" w:cs="等线"/>
        </w:rPr>
      </w:pPr>
      <w:r>
        <w:rPr>
          <w:rFonts w:hint="eastAsia" w:ascii="等线" w:hAnsi="等线" w:eastAsia="等线" w:cs="等线"/>
        </w:rPr>
        <w:drawing>
          <wp:inline distT="0" distB="0" distL="114300" distR="114300">
            <wp:extent cx="5266690" cy="2583815"/>
            <wp:effectExtent l="9525" t="9525" r="19685" b="16510"/>
            <wp:docPr id="13"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6"/>
                    <pic:cNvPicPr>
                      <a:picLocks noChangeAspect="1"/>
                    </pic:cNvPicPr>
                  </pic:nvPicPr>
                  <pic:blipFill>
                    <a:blip r:embed="rId15"/>
                    <a:stretch>
                      <a:fillRect/>
                    </a:stretch>
                  </pic:blipFill>
                  <pic:spPr>
                    <a:xfrm>
                      <a:off x="0" y="0"/>
                      <a:ext cx="5266690" cy="2583815"/>
                    </a:xfrm>
                    <a:prstGeom prst="rect">
                      <a:avLst/>
                    </a:prstGeom>
                    <a:noFill/>
                    <a:ln>
                      <a:solidFill>
                        <a:schemeClr val="bg1">
                          <a:lumMod val="85000"/>
                        </a:schemeClr>
                      </a:solidFill>
                    </a:ln>
                  </pic:spPr>
                </pic:pic>
              </a:graphicData>
            </a:graphic>
          </wp:inline>
        </w:drawing>
      </w:r>
    </w:p>
    <w:p w14:paraId="3369C0D0">
      <w:pPr>
        <w:pStyle w:val="2"/>
        <w:numPr>
          <w:ilvl w:val="0"/>
          <w:numId w:val="2"/>
        </w:numPr>
        <w:autoSpaceDE/>
        <w:autoSpaceDN/>
        <w:spacing w:line="360" w:lineRule="auto"/>
        <w:rPr>
          <w:rFonts w:hint="eastAsia" w:ascii="等线" w:hAnsi="等线" w:eastAsia="等线" w:cs="等线"/>
          <w:b w:val="0"/>
          <w:lang w:val="en-US"/>
        </w:rPr>
      </w:pPr>
      <w:bookmarkStart w:id="2" w:name="_Toc2558"/>
      <w:r>
        <w:rPr>
          <w:rFonts w:hint="eastAsia" w:ascii="等线" w:hAnsi="等线" w:eastAsia="等线" w:cs="等线"/>
          <w:lang w:val="en-US"/>
        </w:rPr>
        <w:t>立项后提交开题、中检、结题资料</w:t>
      </w:r>
      <w:bookmarkEnd w:id="2"/>
    </w:p>
    <w:p w14:paraId="7B16C672">
      <w:pPr>
        <w:autoSpaceDE/>
        <w:autoSpaceDN/>
        <w:spacing w:line="360" w:lineRule="auto"/>
        <w:ind w:firstLine="480" w:firstLineChars="200"/>
        <w:rPr>
          <w:rFonts w:hint="eastAsia" w:ascii="等线" w:hAnsi="等线" w:eastAsia="等线" w:cs="等线"/>
          <w:b/>
          <w:bCs/>
          <w:sz w:val="44"/>
          <w:szCs w:val="44"/>
          <w:lang w:val="en-US"/>
        </w:rPr>
      </w:pPr>
      <w:r>
        <w:rPr>
          <w:rFonts w:hint="eastAsia" w:ascii="等线" w:hAnsi="等线" w:eastAsia="等线" w:cs="等线"/>
          <w:sz w:val="24"/>
          <w:szCs w:val="24"/>
          <w:lang w:val="en-US"/>
        </w:rPr>
        <w:t>在首页右侧科研规划课题申报计划区域，可查看项目的开题、中检、结题时间。如果当前时间处于开题、中检、结题任意一个阶段的时间段内，下方项目列表中的项目会自动显示提交开题、提交中检、提交结题按钮。</w:t>
      </w:r>
    </w:p>
    <w:p w14:paraId="33C81048">
      <w:pPr>
        <w:autoSpaceDE/>
        <w:autoSpaceDN/>
        <w:spacing w:line="360" w:lineRule="auto"/>
        <w:rPr>
          <w:rFonts w:hint="eastAsia" w:ascii="等线" w:hAnsi="等线" w:eastAsia="等线" w:cs="等线"/>
        </w:rPr>
      </w:pPr>
      <w:r>
        <w:rPr>
          <w:rFonts w:hint="eastAsia" w:ascii="等线" w:hAnsi="等线" w:eastAsia="等线" w:cs="等线"/>
        </w:rPr>
        <w:drawing>
          <wp:inline distT="0" distB="0" distL="114300" distR="114300">
            <wp:extent cx="5266690" cy="2583815"/>
            <wp:effectExtent l="9525" t="9525" r="19685" b="16510"/>
            <wp:docPr id="14"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0"/>
                    <pic:cNvPicPr>
                      <a:picLocks noChangeAspect="1"/>
                    </pic:cNvPicPr>
                  </pic:nvPicPr>
                  <pic:blipFill>
                    <a:blip r:embed="rId16"/>
                    <a:stretch>
                      <a:fillRect/>
                    </a:stretch>
                  </pic:blipFill>
                  <pic:spPr>
                    <a:xfrm>
                      <a:off x="0" y="0"/>
                      <a:ext cx="5266690" cy="2583815"/>
                    </a:xfrm>
                    <a:prstGeom prst="rect">
                      <a:avLst/>
                    </a:prstGeom>
                    <a:noFill/>
                    <a:ln>
                      <a:solidFill>
                        <a:schemeClr val="bg1">
                          <a:lumMod val="85000"/>
                        </a:schemeClr>
                      </a:solidFill>
                    </a:ln>
                  </pic:spPr>
                </pic:pic>
              </a:graphicData>
            </a:graphic>
          </wp:inline>
        </w:drawing>
      </w:r>
    </w:p>
    <w:p w14:paraId="1D256037">
      <w:pPr>
        <w:autoSpaceDE/>
        <w:autoSpaceDN/>
        <w:spacing w:line="360" w:lineRule="auto"/>
        <w:ind w:firstLine="480" w:firstLineChars="200"/>
        <w:rPr>
          <w:rFonts w:hint="eastAsia" w:ascii="等线" w:hAnsi="等线" w:eastAsia="等线" w:cs="等线"/>
          <w:lang w:val="en-US"/>
        </w:rPr>
      </w:pPr>
      <w:r>
        <w:rPr>
          <w:rFonts w:hint="eastAsia" w:ascii="等线" w:hAnsi="等线" w:eastAsia="等线" w:cs="等线"/>
          <w:sz w:val="24"/>
          <w:szCs w:val="24"/>
          <w:lang w:val="en-US"/>
        </w:rPr>
        <w:t>申报老师点击【提交开题/提交中检/提交结题】按钮，可以提交对应阶段的资料。提交后即会进入对应阶段的审核流程，审核状态同样随时可查。</w:t>
      </w:r>
    </w:p>
    <w:p w14:paraId="3DE8F173">
      <w:pPr>
        <w:autoSpaceDE/>
        <w:autoSpaceDN/>
        <w:spacing w:line="360" w:lineRule="auto"/>
        <w:rPr>
          <w:rFonts w:hint="eastAsia" w:ascii="等线" w:hAnsi="等线" w:eastAsia="等线" w:cs="等线"/>
        </w:rPr>
      </w:pPr>
      <w:r>
        <w:rPr>
          <w:rFonts w:hint="eastAsia" w:ascii="等线" w:hAnsi="等线" w:eastAsia="等线" w:cs="等线"/>
        </w:rPr>
        <w:drawing>
          <wp:inline distT="0" distB="0" distL="114300" distR="114300">
            <wp:extent cx="5266690" cy="2583815"/>
            <wp:effectExtent l="9525" t="9525" r="19685" b="16510"/>
            <wp:docPr id="15"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1"/>
                    <pic:cNvPicPr>
                      <a:picLocks noChangeAspect="1"/>
                    </pic:cNvPicPr>
                  </pic:nvPicPr>
                  <pic:blipFill>
                    <a:blip r:embed="rId17"/>
                    <a:stretch>
                      <a:fillRect/>
                    </a:stretch>
                  </pic:blipFill>
                  <pic:spPr>
                    <a:xfrm>
                      <a:off x="0" y="0"/>
                      <a:ext cx="5266690" cy="2583815"/>
                    </a:xfrm>
                    <a:prstGeom prst="rect">
                      <a:avLst/>
                    </a:prstGeom>
                    <a:noFill/>
                    <a:ln>
                      <a:solidFill>
                        <a:schemeClr val="bg1">
                          <a:lumMod val="85000"/>
                        </a:schemeClr>
                      </a:solidFill>
                    </a:ln>
                  </pic:spPr>
                </pic:pic>
              </a:graphicData>
            </a:graphic>
          </wp:inline>
        </w:drawing>
      </w:r>
    </w:p>
    <w:p w14:paraId="2C83AFF5">
      <w:pPr>
        <w:autoSpaceDE/>
        <w:autoSpaceDN/>
        <w:spacing w:line="360" w:lineRule="auto"/>
        <w:rPr>
          <w:rFonts w:hint="eastAsia" w:ascii="等线" w:hAnsi="等线" w:eastAsia="等线" w:cs="等线"/>
        </w:rPr>
      </w:pPr>
      <w:r>
        <w:rPr>
          <w:rFonts w:hint="eastAsia" w:ascii="等线" w:hAnsi="等线" w:eastAsia="等线" w:cs="等线"/>
        </w:rPr>
        <w:drawing>
          <wp:inline distT="0" distB="0" distL="114300" distR="114300">
            <wp:extent cx="5266690" cy="2583815"/>
            <wp:effectExtent l="9525" t="9525" r="19685" b="16510"/>
            <wp:docPr id="16"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2"/>
                    <pic:cNvPicPr>
                      <a:picLocks noChangeAspect="1"/>
                    </pic:cNvPicPr>
                  </pic:nvPicPr>
                  <pic:blipFill>
                    <a:blip r:embed="rId18"/>
                    <a:stretch>
                      <a:fillRect/>
                    </a:stretch>
                  </pic:blipFill>
                  <pic:spPr>
                    <a:xfrm>
                      <a:off x="0" y="0"/>
                      <a:ext cx="5266690" cy="2583815"/>
                    </a:xfrm>
                    <a:prstGeom prst="rect">
                      <a:avLst/>
                    </a:prstGeom>
                    <a:noFill/>
                    <a:ln>
                      <a:solidFill>
                        <a:schemeClr val="bg1">
                          <a:lumMod val="85000"/>
                        </a:schemeClr>
                      </a:solidFill>
                    </a:ln>
                  </pic:spPr>
                </pic:pic>
              </a:graphicData>
            </a:graphic>
          </wp:inline>
        </w:drawing>
      </w:r>
    </w:p>
    <w:p w14:paraId="5302020D">
      <w:pPr>
        <w:pStyle w:val="2"/>
        <w:numPr>
          <w:ilvl w:val="0"/>
          <w:numId w:val="2"/>
        </w:numPr>
        <w:autoSpaceDE/>
        <w:autoSpaceDN/>
        <w:spacing w:line="360" w:lineRule="auto"/>
        <w:rPr>
          <w:rFonts w:hint="eastAsia" w:ascii="等线" w:hAnsi="等线" w:eastAsia="等线" w:cs="等线"/>
          <w:lang w:val="en-US"/>
        </w:rPr>
      </w:pPr>
      <w:bookmarkStart w:id="3" w:name="_Toc19312"/>
      <w:r>
        <w:rPr>
          <w:rFonts w:hint="eastAsia" w:ascii="等线" w:hAnsi="等线" w:eastAsia="等线" w:cs="等线"/>
          <w:lang w:val="en-US"/>
        </w:rPr>
        <w:t>立项后变更</w:t>
      </w:r>
      <w:bookmarkEnd w:id="3"/>
    </w:p>
    <w:p w14:paraId="0F158178">
      <w:pPr>
        <w:autoSpaceDE/>
        <w:autoSpaceDN/>
        <w:spacing w:line="360" w:lineRule="auto"/>
        <w:ind w:firstLine="480" w:firstLineChars="200"/>
        <w:rPr>
          <w:rFonts w:hint="eastAsia" w:ascii="等线" w:hAnsi="等线" w:eastAsia="等线" w:cs="等线"/>
          <w:sz w:val="24"/>
          <w:szCs w:val="24"/>
          <w:lang w:val="en-US"/>
        </w:rPr>
      </w:pPr>
      <w:r>
        <w:rPr>
          <w:rFonts w:hint="eastAsia" w:ascii="等线" w:hAnsi="等线" w:eastAsia="等线" w:cs="等线"/>
          <w:sz w:val="24"/>
          <w:szCs w:val="24"/>
          <w:lang w:val="en-US"/>
        </w:rPr>
        <w:t>目前系统支持已立项的项目在研究过程中发起【延期】和【弃项】两类变更。申报老师在需变更的项目记录后点击【变更】按钮，可以选择对应的变更类型，提交对应的变更申请资料。提交后即会进入对应的变更审核流程，审核状态同样随时可查。</w:t>
      </w:r>
    </w:p>
    <w:p w14:paraId="47149CC7">
      <w:pPr>
        <w:numPr>
          <w:ilvl w:val="0"/>
          <w:numId w:val="3"/>
        </w:numPr>
        <w:autoSpaceDE/>
        <w:autoSpaceDN/>
        <w:spacing w:line="360" w:lineRule="auto"/>
        <w:rPr>
          <w:rFonts w:hint="eastAsia" w:ascii="等线" w:hAnsi="等线" w:eastAsia="等线" w:cs="等线"/>
          <w:lang w:val="en-US"/>
        </w:rPr>
      </w:pPr>
      <w:r>
        <w:rPr>
          <w:rFonts w:hint="eastAsia" w:ascii="等线" w:hAnsi="等线" w:eastAsia="等线" w:cs="等线"/>
          <w:sz w:val="24"/>
          <w:szCs w:val="24"/>
          <w:lang w:val="en-US"/>
        </w:rPr>
        <w:t>项目【延期】变更审核通过后，申报老师可以在延期期间，根据申请延期的阶段随时提交对应阶段的资料；</w:t>
      </w:r>
    </w:p>
    <w:p w14:paraId="7CCF635E">
      <w:pPr>
        <w:numPr>
          <w:ilvl w:val="0"/>
          <w:numId w:val="3"/>
        </w:numPr>
        <w:autoSpaceDE/>
        <w:autoSpaceDN/>
        <w:spacing w:line="360" w:lineRule="auto"/>
        <w:rPr>
          <w:rFonts w:hint="eastAsia" w:ascii="等线" w:hAnsi="等线" w:eastAsia="等线" w:cs="等线"/>
          <w:lang w:val="en-US"/>
        </w:rPr>
      </w:pPr>
      <w:r>
        <w:rPr>
          <w:rFonts w:hint="eastAsia" w:ascii="等线" w:hAnsi="等线" w:eastAsia="等线" w:cs="等线"/>
          <w:sz w:val="24"/>
          <w:szCs w:val="24"/>
          <w:lang w:val="en-US"/>
        </w:rPr>
        <w:t>项目【弃项】变更审核通过后，项目研究终止，申报老师不可以再对项目做任何操作，只可查看。</w:t>
      </w:r>
    </w:p>
    <w:p w14:paraId="3B240EA0">
      <w:pPr>
        <w:autoSpaceDE/>
        <w:autoSpaceDN/>
        <w:spacing w:line="360" w:lineRule="auto"/>
        <w:rPr>
          <w:rFonts w:hint="eastAsia" w:ascii="等线" w:hAnsi="等线" w:eastAsia="等线" w:cs="等线"/>
          <w:lang w:val="en-US"/>
        </w:rPr>
      </w:pPr>
      <w:r>
        <w:rPr>
          <w:rFonts w:hint="eastAsia" w:ascii="等线" w:hAnsi="等线" w:eastAsia="等线" w:cs="等线"/>
        </w:rPr>
        <w:drawing>
          <wp:inline distT="0" distB="0" distL="114300" distR="114300">
            <wp:extent cx="5266690" cy="2583815"/>
            <wp:effectExtent l="9525" t="9525" r="19685" b="16510"/>
            <wp:docPr id="17"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3"/>
                    <pic:cNvPicPr>
                      <a:picLocks noChangeAspect="1"/>
                    </pic:cNvPicPr>
                  </pic:nvPicPr>
                  <pic:blipFill>
                    <a:blip r:embed="rId19"/>
                    <a:stretch>
                      <a:fillRect/>
                    </a:stretch>
                  </pic:blipFill>
                  <pic:spPr>
                    <a:xfrm>
                      <a:off x="0" y="0"/>
                      <a:ext cx="5266690" cy="2583815"/>
                    </a:xfrm>
                    <a:prstGeom prst="rect">
                      <a:avLst/>
                    </a:prstGeom>
                    <a:noFill/>
                    <a:ln>
                      <a:solidFill>
                        <a:schemeClr val="bg1">
                          <a:lumMod val="85000"/>
                        </a:schemeClr>
                      </a:solidFill>
                    </a:ln>
                  </pic:spPr>
                </pic:pic>
              </a:graphicData>
            </a:graphic>
          </wp:inline>
        </w:drawing>
      </w:r>
    </w:p>
    <w:p w14:paraId="7151E52A">
      <w:pPr>
        <w:autoSpaceDE/>
        <w:autoSpaceDN/>
        <w:spacing w:line="360" w:lineRule="auto"/>
        <w:rPr>
          <w:rFonts w:hint="eastAsia" w:ascii="等线" w:hAnsi="等线" w:eastAsia="等线" w:cs="等线"/>
        </w:rPr>
      </w:pPr>
      <w:r>
        <w:rPr>
          <w:rFonts w:hint="eastAsia" w:ascii="等线" w:hAnsi="等线" w:eastAsia="等线" w:cs="等线"/>
        </w:rPr>
        <w:drawing>
          <wp:inline distT="0" distB="0" distL="114300" distR="114300">
            <wp:extent cx="5266690" cy="2583815"/>
            <wp:effectExtent l="9525" t="9525" r="19685" b="16510"/>
            <wp:docPr id="18"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9"/>
                    <pic:cNvPicPr>
                      <a:picLocks noChangeAspect="1"/>
                    </pic:cNvPicPr>
                  </pic:nvPicPr>
                  <pic:blipFill>
                    <a:blip r:embed="rId20"/>
                    <a:stretch>
                      <a:fillRect/>
                    </a:stretch>
                  </pic:blipFill>
                  <pic:spPr>
                    <a:xfrm>
                      <a:off x="0" y="0"/>
                      <a:ext cx="5266690" cy="2583815"/>
                    </a:xfrm>
                    <a:prstGeom prst="rect">
                      <a:avLst/>
                    </a:prstGeom>
                    <a:noFill/>
                    <a:ln>
                      <a:solidFill>
                        <a:schemeClr val="bg1">
                          <a:lumMod val="85000"/>
                        </a:schemeClr>
                      </a:solidFill>
                    </a:ln>
                  </pic:spPr>
                </pic:pic>
              </a:graphicData>
            </a:graphic>
          </wp:inline>
        </w:drawing>
      </w:r>
    </w:p>
    <w:p w14:paraId="6DD182AD">
      <w:pPr>
        <w:pStyle w:val="2"/>
        <w:numPr>
          <w:ilvl w:val="0"/>
          <w:numId w:val="2"/>
        </w:numPr>
        <w:autoSpaceDE/>
        <w:autoSpaceDN/>
        <w:spacing w:line="360" w:lineRule="auto"/>
        <w:rPr>
          <w:rFonts w:hint="eastAsia" w:ascii="等线" w:hAnsi="等线" w:eastAsia="等线" w:cs="等线"/>
          <w:lang w:val="en-US"/>
        </w:rPr>
      </w:pPr>
      <w:bookmarkStart w:id="4" w:name="_Toc31015"/>
      <w:r>
        <w:rPr>
          <w:rFonts w:hint="eastAsia" w:ascii="等线" w:hAnsi="等线" w:eastAsia="等线" w:cs="等线"/>
          <w:lang w:val="en-US"/>
        </w:rPr>
        <w:t>移动端</w:t>
      </w:r>
      <w:bookmarkEnd w:id="4"/>
    </w:p>
    <w:p w14:paraId="198F21F5">
      <w:pPr>
        <w:autoSpaceDE/>
        <w:autoSpaceDN/>
        <w:spacing w:line="360" w:lineRule="auto"/>
        <w:ind w:firstLine="480" w:firstLineChars="200"/>
        <w:rPr>
          <w:rFonts w:hint="eastAsia" w:ascii="等线" w:hAnsi="等线" w:eastAsia="等线" w:cs="等线"/>
          <w:lang w:val="en-US"/>
        </w:rPr>
      </w:pPr>
      <w:r>
        <w:rPr>
          <w:rFonts w:hint="eastAsia" w:ascii="等线" w:hAnsi="等线" w:eastAsia="等线" w:cs="等线"/>
          <w:sz w:val="24"/>
          <w:szCs w:val="24"/>
          <w:lang w:val="en-US"/>
        </w:rPr>
        <w:t>目前移动端主要提供数据查询及消息提醒功能，包括查询科研规划课题项目申报计划、查询我已申报的项目及状态、审核结果消息提醒等；</w:t>
      </w:r>
    </w:p>
    <w:p w14:paraId="23167844">
      <w:pPr>
        <w:autoSpaceDE/>
        <w:autoSpaceDN/>
        <w:spacing w:line="360" w:lineRule="auto"/>
        <w:rPr>
          <w:rFonts w:hint="eastAsia" w:ascii="等线" w:hAnsi="等线" w:eastAsia="等线" w:cs="等线"/>
          <w:lang w:val="en-US"/>
        </w:rPr>
      </w:pPr>
      <w:r>
        <w:rPr>
          <w:rFonts w:hint="eastAsia" w:ascii="等线" w:hAnsi="等线" w:eastAsia="等线" w:cs="等线"/>
        </w:rPr>
        <w:drawing>
          <wp:inline distT="0" distB="0" distL="114300" distR="114300">
            <wp:extent cx="2498725" cy="5400040"/>
            <wp:effectExtent l="9525" t="9525" r="25400" b="19685"/>
            <wp:docPr id="19"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4"/>
                    <pic:cNvPicPr>
                      <a:picLocks noChangeAspect="1"/>
                    </pic:cNvPicPr>
                  </pic:nvPicPr>
                  <pic:blipFill>
                    <a:blip r:embed="rId21"/>
                    <a:stretch>
                      <a:fillRect/>
                    </a:stretch>
                  </pic:blipFill>
                  <pic:spPr>
                    <a:xfrm>
                      <a:off x="0" y="0"/>
                      <a:ext cx="2498725" cy="5400040"/>
                    </a:xfrm>
                    <a:prstGeom prst="rect">
                      <a:avLst/>
                    </a:prstGeom>
                    <a:noFill/>
                    <a:ln>
                      <a:solidFill>
                        <a:schemeClr val="bg1">
                          <a:lumMod val="85000"/>
                        </a:schemeClr>
                      </a:solidFill>
                    </a:ln>
                  </pic:spPr>
                </pic:pic>
              </a:graphicData>
            </a:graphic>
          </wp:inline>
        </w:drawing>
      </w:r>
      <w:r>
        <w:rPr>
          <w:rFonts w:hint="eastAsia" w:ascii="等线" w:hAnsi="等线" w:eastAsia="等线" w:cs="等线"/>
          <w:lang w:val="en-US"/>
        </w:rPr>
        <w:t xml:space="preserve">  </w:t>
      </w:r>
      <w:r>
        <w:rPr>
          <w:rFonts w:hint="eastAsia" w:ascii="等线" w:hAnsi="等线" w:eastAsia="等线" w:cs="等线"/>
        </w:rPr>
        <w:drawing>
          <wp:inline distT="0" distB="0" distL="114300" distR="114300">
            <wp:extent cx="2520315" cy="5400040"/>
            <wp:effectExtent l="9525" t="9525" r="22860" b="19685"/>
            <wp:docPr id="20"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15"/>
                    <pic:cNvPicPr>
                      <a:picLocks noChangeAspect="1"/>
                    </pic:cNvPicPr>
                  </pic:nvPicPr>
                  <pic:blipFill>
                    <a:blip r:embed="rId22"/>
                    <a:stretch>
                      <a:fillRect/>
                    </a:stretch>
                  </pic:blipFill>
                  <pic:spPr>
                    <a:xfrm>
                      <a:off x="0" y="0"/>
                      <a:ext cx="2520315" cy="5400040"/>
                    </a:xfrm>
                    <a:prstGeom prst="rect">
                      <a:avLst/>
                    </a:prstGeom>
                    <a:noFill/>
                    <a:ln>
                      <a:solidFill>
                        <a:schemeClr val="bg1">
                          <a:lumMod val="85000"/>
                        </a:schemeClr>
                      </a:solidFill>
                    </a:ln>
                  </pic:spPr>
                </pic:pic>
              </a:graphicData>
            </a:graphic>
          </wp:inline>
        </w:drawing>
      </w:r>
    </w:p>
    <w:p w14:paraId="30108E63">
      <w:pPr>
        <w:rPr>
          <w:rFonts w:hint="eastAsia"/>
          <w:lang w:val="en-US"/>
        </w:rPr>
      </w:pPr>
      <w:r>
        <w:rPr>
          <w:lang w:val="en-US"/>
        </w:rPr>
        <w:br w:type="page"/>
      </w:r>
    </w:p>
    <w:p w14:paraId="7883C98B">
      <w:pPr>
        <w:keepNext w:val="0"/>
        <w:keepLines w:val="0"/>
        <w:pageBreakBefore w:val="0"/>
        <w:widowControl w:val="0"/>
        <w:numPr>
          <w:ilvl w:val="0"/>
          <w:numId w:val="0"/>
        </w:numPr>
        <w:kinsoku/>
        <w:wordWrap/>
        <w:overflowPunct/>
        <w:topLinePunct w:val="0"/>
        <w:autoSpaceDE/>
        <w:autoSpaceDN/>
        <w:bidi w:val="0"/>
        <w:adjustRightInd/>
        <w:snapToGrid/>
        <w:spacing w:line="700" w:lineRule="exact"/>
        <w:ind w:firstLine="420" w:firstLineChars="200"/>
        <w:jc w:val="both"/>
        <w:textAlignment w:val="auto"/>
        <w:rPr>
          <w:rFonts w:hint="default" w:ascii="仿宋_GB2312" w:hAnsi="仿宋_GB2312" w:eastAsia="仿宋_GB2312" w:cs="仿宋_GB2312"/>
          <w:sz w:val="32"/>
          <w:szCs w:val="32"/>
          <w:lang w:val="en-US" w:eastAsia="zh-CN"/>
        </w:rPr>
      </w:pPr>
      <w:r>
        <mc:AlternateContent>
          <mc:Choice Requires="wps">
            <w:drawing>
              <wp:anchor distT="0" distB="0" distL="114300" distR="114300" simplePos="0" relativeHeight="251663360" behindDoc="0" locked="0" layoutInCell="1" allowOverlap="1">
                <wp:simplePos x="0" y="0"/>
                <wp:positionH relativeFrom="column">
                  <wp:posOffset>-651510</wp:posOffset>
                </wp:positionH>
                <wp:positionV relativeFrom="paragraph">
                  <wp:posOffset>-785495</wp:posOffset>
                </wp:positionV>
                <wp:extent cx="1038860" cy="372110"/>
                <wp:effectExtent l="0" t="0" r="0" b="0"/>
                <wp:wrapNone/>
                <wp:docPr id="38" name="文本框 38"/>
                <wp:cNvGraphicFramePr/>
                <a:graphic xmlns:a="http://schemas.openxmlformats.org/drawingml/2006/main">
                  <a:graphicData uri="http://schemas.microsoft.com/office/word/2010/wordprocessingShape">
                    <wps:wsp>
                      <wps:cNvSpPr txBox="1"/>
                      <wps:spPr>
                        <a:xfrm>
                          <a:off x="0" y="0"/>
                          <a:ext cx="1038860" cy="37211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0B9988F">
                            <w:pPr>
                              <w:rPr>
                                <w:rFonts w:hint="eastAsia" w:ascii="仿宋_GB2312" w:hAnsi="仿宋_GB2312" w:eastAsia="仿宋_GB2312" w:cs="仿宋_GB2312"/>
                                <w:sz w:val="32"/>
                                <w:szCs w:val="32"/>
                                <w:lang w:val="en-US"/>
                              </w:rPr>
                            </w:pPr>
                            <w:r>
                              <w:rPr>
                                <w:rFonts w:hint="eastAsia" w:ascii="仿宋_GB2312" w:hAnsi="仿宋_GB2312" w:eastAsia="仿宋_GB2312" w:cs="仿宋_GB2312"/>
                                <w:sz w:val="32"/>
                                <w:szCs w:val="32"/>
                                <w:lang w:val="en-US"/>
                              </w:rPr>
                              <w:t>附件6</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51.3pt;margin-top:-61.85pt;height:29.3pt;width:81.8pt;z-index:251663360;mso-width-relative:page;mso-height-relative:page;" filled="f" stroked="f" coordsize="21600,21600" o:gfxdata="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">
                <v:fill on="f" focussize="0,0"/>
                <v:stroke on="f" weight="0.5pt"/>
                <v:imagedata o:title=""/>
                <o:lock v:ext="edit" aspectratio="f"/>
                <v:textbox>
                  <w:txbxContent>
                    <w:p w14:paraId="60B9988F">
                      <w:pPr>
                        <w:rPr>
                          <w:rFonts w:hint="eastAsia" w:ascii="仿宋_GB2312" w:hAnsi="仿宋_GB2312" w:eastAsia="仿宋_GB2312" w:cs="仿宋_GB2312"/>
                          <w:sz w:val="32"/>
                          <w:szCs w:val="32"/>
                          <w:lang w:val="en-US"/>
                        </w:rPr>
                      </w:pPr>
                      <w:r>
                        <w:rPr>
                          <w:rFonts w:hint="eastAsia" w:ascii="仿宋_GB2312" w:hAnsi="仿宋_GB2312" w:eastAsia="仿宋_GB2312" w:cs="仿宋_GB2312"/>
                          <w:sz w:val="32"/>
                          <w:szCs w:val="32"/>
                          <w:lang w:val="en-US"/>
                        </w:rPr>
                        <w:t>附件6</w:t>
                      </w:r>
                    </w:p>
                  </w:txbxContent>
                </v:textbox>
              </v:shape>
            </w:pict>
          </mc:Fallback>
        </mc:AlternateContent>
      </w:r>
    </w:p>
    <w:p w14:paraId="5C74EC77">
      <w:pPr>
        <w:autoSpaceDE/>
        <w:autoSpaceDN/>
        <w:spacing w:line="360" w:lineRule="auto"/>
        <w:ind w:right="-1153" w:rightChars="-549"/>
        <w:jc w:val="both"/>
        <w:rPr>
          <w:rFonts w:hint="eastAsia" w:ascii="等线" w:hAnsi="等线" w:eastAsia="等线" w:cs="等线"/>
          <w:sz w:val="72"/>
          <w:szCs w:val="72"/>
        </w:rPr>
      </w:pPr>
    </w:p>
    <w:p w14:paraId="487DC113">
      <w:pPr>
        <w:autoSpaceDE/>
        <w:autoSpaceDN/>
        <w:spacing w:line="360" w:lineRule="auto"/>
        <w:ind w:right="-1153" w:rightChars="-549"/>
        <w:jc w:val="both"/>
        <w:rPr>
          <w:rFonts w:hint="eastAsia" w:ascii="等线" w:hAnsi="等线" w:eastAsia="等线" w:cs="等线"/>
          <w:sz w:val="72"/>
          <w:szCs w:val="72"/>
        </w:rPr>
      </w:pPr>
    </w:p>
    <w:p w14:paraId="74612A44">
      <w:pPr>
        <w:autoSpaceDE/>
        <w:autoSpaceDN/>
        <w:spacing w:line="360" w:lineRule="auto"/>
        <w:ind w:right="-1153" w:rightChars="-549"/>
        <w:jc w:val="both"/>
        <w:rPr>
          <w:rFonts w:hint="eastAsia" w:ascii="等线" w:hAnsi="等线" w:eastAsia="等线" w:cs="等线"/>
          <w:sz w:val="72"/>
          <w:szCs w:val="72"/>
        </w:rPr>
      </w:pPr>
    </w:p>
    <w:p w14:paraId="74BE4AF8">
      <w:pPr>
        <w:autoSpaceDE/>
        <w:autoSpaceDN/>
        <w:spacing w:line="360" w:lineRule="auto"/>
        <w:ind w:right="-1153" w:rightChars="-549"/>
        <w:jc w:val="both"/>
        <w:rPr>
          <w:rFonts w:hint="eastAsia" w:ascii="等线" w:hAnsi="等线" w:eastAsia="等线" w:cs="等线"/>
          <w:sz w:val="72"/>
          <w:szCs w:val="72"/>
        </w:rPr>
      </w:pPr>
    </w:p>
    <w:p w14:paraId="5EE498FE">
      <w:pPr>
        <w:autoSpaceDE/>
        <w:autoSpaceDN/>
        <w:spacing w:line="360" w:lineRule="auto"/>
        <w:ind w:right="-1153" w:rightChars="-549"/>
        <w:jc w:val="both"/>
        <w:rPr>
          <w:rFonts w:hint="eastAsia" w:ascii="等线" w:hAnsi="等线" w:eastAsia="等线" w:cs="等线"/>
          <w:sz w:val="72"/>
          <w:szCs w:val="72"/>
        </w:rPr>
      </w:pPr>
    </w:p>
    <w:p w14:paraId="4C874332">
      <w:pPr>
        <w:autoSpaceDE/>
        <w:autoSpaceDN/>
        <w:spacing w:line="360" w:lineRule="auto"/>
        <w:ind w:right="-1153" w:rightChars="-549"/>
        <w:jc w:val="both"/>
        <w:rPr>
          <w:rFonts w:hint="eastAsia" w:ascii="等线" w:hAnsi="等线" w:eastAsia="等线" w:cs="等线"/>
          <w:sz w:val="72"/>
          <w:szCs w:val="72"/>
        </w:rPr>
      </w:pPr>
    </w:p>
    <w:p w14:paraId="2D99F190">
      <w:pPr>
        <w:autoSpaceDE/>
        <w:autoSpaceDN/>
        <w:spacing w:line="360" w:lineRule="auto"/>
        <w:ind w:right="-1153" w:rightChars="-549"/>
        <w:jc w:val="both"/>
        <w:rPr>
          <w:rFonts w:hint="eastAsia" w:ascii="等线" w:hAnsi="等线" w:eastAsia="等线" w:cs="等线"/>
          <w:sz w:val="72"/>
          <w:szCs w:val="72"/>
        </w:rPr>
      </w:pPr>
    </w:p>
    <w:p w14:paraId="6C749845">
      <w:pPr>
        <w:autoSpaceDE/>
        <w:autoSpaceDN/>
        <w:spacing w:line="360" w:lineRule="auto"/>
        <w:ind w:right="-1153" w:rightChars="-549"/>
        <w:jc w:val="both"/>
        <w:rPr>
          <w:rFonts w:hint="default" w:ascii="仿宋_GB2312" w:hAnsi="仿宋_GB2312" w:eastAsia="仿宋_GB2312" w:cs="仿宋_GB2312"/>
          <w:sz w:val="32"/>
          <w:szCs w:val="32"/>
          <w:lang w:val="en-US" w:eastAsia="zh-CN"/>
        </w:rPr>
      </w:pPr>
      <w:r>
        <w:rPr>
          <w:rFonts w:hint="eastAsia" w:ascii="等线" w:hAnsi="等线" w:eastAsia="等线" w:cs="等线"/>
          <w:sz w:val="72"/>
          <w:szCs w:val="72"/>
        </w:rPr>
        <w:t>科研规划课题申报与管理平台【</w:t>
      </w:r>
      <w:r>
        <w:rPr>
          <w:rFonts w:hint="eastAsia" w:ascii="等线" w:hAnsi="等线" w:eastAsia="等线" w:cs="等线"/>
          <w:sz w:val="72"/>
          <w:szCs w:val="72"/>
          <w:lang w:val="en-US"/>
        </w:rPr>
        <w:t>会员单位管理员</w:t>
      </w:r>
      <w:r>
        <w:rPr>
          <w:rFonts w:hint="eastAsia" w:ascii="等线" w:hAnsi="等线" w:eastAsia="等线" w:cs="等线"/>
          <w:sz w:val="72"/>
          <w:szCs w:val="72"/>
        </w:rPr>
        <w:t>】</w:t>
      </w:r>
      <w:r>
        <w:rPr>
          <w:rFonts w:hint="eastAsia" w:ascii="等线" w:hAnsi="等线" w:eastAsia="等线" w:cs="等线"/>
          <w:sz w:val="72"/>
          <w:szCs w:val="72"/>
          <w:lang w:val="en-US"/>
        </w:rPr>
        <w:t>操作手册</w:t>
      </w:r>
      <w:r>
        <w:rPr>
          <w:rFonts w:hint="eastAsia" w:ascii="等线" w:hAnsi="等线" w:eastAsia="等线" w:cs="等线"/>
          <w:b/>
          <w:bCs/>
        </w:rPr>
        <w:drawing>
          <wp:anchor distT="0" distB="0" distL="114300" distR="114300" simplePos="0" relativeHeight="251662336" behindDoc="1" locked="0" layoutInCell="1" allowOverlap="1">
            <wp:simplePos x="0" y="0"/>
            <wp:positionH relativeFrom="column">
              <wp:posOffset>-1146175</wp:posOffset>
            </wp:positionH>
            <wp:positionV relativeFrom="page">
              <wp:posOffset>-9525</wp:posOffset>
            </wp:positionV>
            <wp:extent cx="7831455" cy="10697845"/>
            <wp:effectExtent l="0" t="0" r="17145" b="8255"/>
            <wp:wrapNone/>
            <wp:docPr id="21" name="图片 21" descr="C:\Users\Administrator\Desktop\578d8dd91d602.jpg578d8dd91d6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C:\Users\Administrator\Desktop\578d8dd91d602.jpg578d8dd91d602"/>
                    <pic:cNvPicPr>
                      <a:picLocks noChangeAspect="1"/>
                    </pic:cNvPicPr>
                  </pic:nvPicPr>
                  <pic:blipFill>
                    <a:blip r:embed="rId6"/>
                    <a:srcRect/>
                    <a:stretch>
                      <a:fillRect/>
                    </a:stretch>
                  </pic:blipFill>
                  <pic:spPr>
                    <a:xfrm>
                      <a:off x="0" y="0"/>
                      <a:ext cx="7831455" cy="10697845"/>
                    </a:xfrm>
                    <a:prstGeom prst="rect">
                      <a:avLst/>
                    </a:prstGeom>
                  </pic:spPr>
                </pic:pic>
              </a:graphicData>
            </a:graphic>
          </wp:anchor>
        </w:drawing>
      </w:r>
    </w:p>
    <w:p w14:paraId="435F3FC2">
      <w:pPr>
        <w:keepNext w:val="0"/>
        <w:keepLines w:val="0"/>
        <w:pageBreakBefore w:val="0"/>
        <w:widowControl w:val="0"/>
        <w:numPr>
          <w:ilvl w:val="0"/>
          <w:numId w:val="0"/>
        </w:numPr>
        <w:kinsoku/>
        <w:wordWrap/>
        <w:overflowPunct/>
        <w:topLinePunct w:val="0"/>
        <w:autoSpaceDE/>
        <w:autoSpaceDN/>
        <w:bidi w:val="0"/>
        <w:adjustRightInd/>
        <w:snapToGrid/>
        <w:spacing w:line="700" w:lineRule="exact"/>
        <w:ind w:firstLine="640" w:firstLineChars="200"/>
        <w:jc w:val="both"/>
        <w:textAlignment w:val="auto"/>
        <w:rPr>
          <w:rFonts w:hint="default" w:ascii="仿宋_GB2312" w:hAnsi="仿宋_GB2312" w:eastAsia="仿宋_GB2312" w:cs="仿宋_GB2312"/>
          <w:sz w:val="32"/>
          <w:szCs w:val="32"/>
          <w:lang w:val="en-US" w:eastAsia="zh-CN"/>
        </w:rPr>
      </w:pPr>
    </w:p>
    <w:sdt>
      <w:sdtPr>
        <w:rPr>
          <w:rFonts w:hint="eastAsia" w:ascii="等线" w:hAnsi="等线" w:eastAsia="等线" w:cs="等线"/>
          <w:b/>
          <w:bCs/>
          <w:kern w:val="2"/>
          <w:sz w:val="24"/>
          <w:szCs w:val="28"/>
          <w:lang w:val="en-US" w:bidi="ar-SA"/>
        </w:rPr>
        <w:id w:val="371663890"/>
        <w15:color w:val="DBDBDB"/>
        <w:docPartObj>
          <w:docPartGallery w:val="Table of Contents"/>
          <w:docPartUnique/>
        </w:docPartObj>
      </w:sdtPr>
      <w:sdtEndPr>
        <w:rPr>
          <w:rFonts w:hint="eastAsia" w:ascii="等线" w:hAnsi="等线" w:eastAsia="等线" w:cs="等线"/>
          <w:b/>
          <w:bCs/>
          <w:kern w:val="2"/>
          <w:sz w:val="24"/>
          <w:szCs w:val="22"/>
          <w:lang w:val="en-US" w:bidi="ar-SA"/>
        </w:rPr>
      </w:sdtEndPr>
      <w:sdtContent>
        <w:p w14:paraId="40B3ACD6">
          <w:pPr>
            <w:jc w:val="center"/>
            <w:rPr>
              <w:rFonts w:hint="eastAsia" w:ascii="等线" w:hAnsi="等线" w:eastAsia="等线" w:cs="等线"/>
              <w:b/>
              <w:bCs/>
              <w:sz w:val="32"/>
              <w:szCs w:val="28"/>
            </w:rPr>
          </w:pPr>
          <w:r>
            <w:rPr>
              <w:rFonts w:hint="eastAsia" w:ascii="等线" w:hAnsi="等线" w:eastAsia="等线" w:cs="等线"/>
              <w:b/>
              <w:bCs/>
              <w:sz w:val="24"/>
              <w:szCs w:val="28"/>
            </w:rPr>
            <w:t>目录</w:t>
          </w:r>
        </w:p>
        <w:p w14:paraId="47FA5B85">
          <w:pPr>
            <w:pStyle w:val="9"/>
            <w:tabs>
              <w:tab w:val="right" w:leader="dot" w:pos="8306"/>
            </w:tabs>
            <w:rPr>
              <w:rFonts w:hint="eastAsia" w:ascii="等线" w:hAnsi="等线" w:eastAsia="等线" w:cs="等线"/>
            </w:rPr>
          </w:pPr>
          <w:r>
            <w:rPr>
              <w:rFonts w:hint="eastAsia" w:ascii="等线" w:hAnsi="等线" w:eastAsia="等线" w:cs="等线"/>
            </w:rPr>
            <w:fldChar w:fldCharType="begin"/>
          </w:r>
          <w:r>
            <w:rPr>
              <w:rFonts w:hint="eastAsia" w:ascii="等线" w:hAnsi="等线" w:eastAsia="等线" w:cs="等线"/>
            </w:rPr>
            <w:instrText xml:space="preserve">TOC \o "1-3" \h \u </w:instrText>
          </w:r>
          <w:r>
            <w:rPr>
              <w:rFonts w:hint="eastAsia" w:ascii="等线" w:hAnsi="等线" w:eastAsia="等线" w:cs="等线"/>
            </w:rPr>
            <w:fldChar w:fldCharType="separate"/>
          </w:r>
          <w:r>
            <w:fldChar w:fldCharType="begin"/>
          </w:r>
          <w:r>
            <w:instrText xml:space="preserve"> HYPERLINK \l "_Toc5764" </w:instrText>
          </w:r>
          <w:r>
            <w:fldChar w:fldCharType="separate"/>
          </w:r>
          <w:r>
            <w:rPr>
              <w:rFonts w:hint="eastAsia" w:ascii="等线" w:hAnsi="等线" w:eastAsia="等线" w:cs="等线"/>
            </w:rPr>
            <w:t>1. 业务流程</w:t>
          </w:r>
          <w:r>
            <w:rPr>
              <w:rFonts w:hint="eastAsia" w:ascii="等线" w:hAnsi="等线" w:eastAsia="等线" w:cs="等线"/>
            </w:rPr>
            <w:tab/>
          </w:r>
          <w:r>
            <w:rPr>
              <w:rFonts w:hint="eastAsia" w:ascii="等线" w:hAnsi="等线" w:eastAsia="等线" w:cs="等线"/>
            </w:rPr>
            <w:fldChar w:fldCharType="begin"/>
          </w:r>
          <w:r>
            <w:rPr>
              <w:rFonts w:hint="eastAsia" w:ascii="等线" w:hAnsi="等线" w:eastAsia="等线" w:cs="等线"/>
            </w:rPr>
            <w:instrText xml:space="preserve"> PAGEREF _Toc5764 \h </w:instrText>
          </w:r>
          <w:r>
            <w:rPr>
              <w:rFonts w:hint="eastAsia" w:ascii="等线" w:hAnsi="等线" w:eastAsia="等线" w:cs="等线"/>
            </w:rPr>
            <w:fldChar w:fldCharType="separate"/>
          </w:r>
          <w:r>
            <w:rPr>
              <w:rFonts w:hint="eastAsia" w:ascii="等线" w:hAnsi="等线" w:eastAsia="等线" w:cs="等线"/>
            </w:rPr>
            <w:t>2</w:t>
          </w:r>
          <w:r>
            <w:rPr>
              <w:rFonts w:hint="eastAsia" w:ascii="等线" w:hAnsi="等线" w:eastAsia="等线" w:cs="等线"/>
            </w:rPr>
            <w:fldChar w:fldCharType="end"/>
          </w:r>
          <w:r>
            <w:rPr>
              <w:rFonts w:hint="eastAsia" w:ascii="等线" w:hAnsi="等线" w:eastAsia="等线" w:cs="等线"/>
            </w:rPr>
            <w:fldChar w:fldCharType="end"/>
          </w:r>
        </w:p>
        <w:p w14:paraId="6A95C59F">
          <w:pPr>
            <w:pStyle w:val="9"/>
            <w:tabs>
              <w:tab w:val="right" w:leader="dot" w:pos="8306"/>
            </w:tabs>
            <w:rPr>
              <w:rFonts w:hint="eastAsia" w:ascii="等线" w:hAnsi="等线" w:eastAsia="等线" w:cs="等线"/>
            </w:rPr>
          </w:pPr>
          <w:r>
            <w:fldChar w:fldCharType="begin"/>
          </w:r>
          <w:r>
            <w:instrText xml:space="preserve"> HYPERLINK \l "_Toc12663" </w:instrText>
          </w:r>
          <w:r>
            <w:fldChar w:fldCharType="separate"/>
          </w:r>
          <w:r>
            <w:rPr>
              <w:rFonts w:hint="eastAsia" w:ascii="等线" w:hAnsi="等线" w:eastAsia="等线" w:cs="等线"/>
            </w:rPr>
            <w:t>2. 新增/导入本单位申报老师账号</w:t>
          </w:r>
          <w:r>
            <w:rPr>
              <w:rFonts w:hint="eastAsia" w:ascii="等线" w:hAnsi="等线" w:eastAsia="等线" w:cs="等线"/>
            </w:rPr>
            <w:tab/>
          </w:r>
          <w:r>
            <w:rPr>
              <w:rFonts w:hint="eastAsia" w:ascii="等线" w:hAnsi="等线" w:eastAsia="等线" w:cs="等线"/>
            </w:rPr>
            <w:fldChar w:fldCharType="begin"/>
          </w:r>
          <w:r>
            <w:rPr>
              <w:rFonts w:hint="eastAsia" w:ascii="等线" w:hAnsi="等线" w:eastAsia="等线" w:cs="等线"/>
            </w:rPr>
            <w:instrText xml:space="preserve"> PAGEREF _Toc12663 \h </w:instrText>
          </w:r>
          <w:r>
            <w:rPr>
              <w:rFonts w:hint="eastAsia" w:ascii="等线" w:hAnsi="等线" w:eastAsia="等线" w:cs="等线"/>
            </w:rPr>
            <w:fldChar w:fldCharType="separate"/>
          </w:r>
          <w:r>
            <w:rPr>
              <w:rFonts w:hint="eastAsia" w:ascii="等线" w:hAnsi="等线" w:eastAsia="等线" w:cs="等线"/>
            </w:rPr>
            <w:t>2</w:t>
          </w:r>
          <w:r>
            <w:rPr>
              <w:rFonts w:hint="eastAsia" w:ascii="等线" w:hAnsi="等线" w:eastAsia="等线" w:cs="等线"/>
            </w:rPr>
            <w:fldChar w:fldCharType="end"/>
          </w:r>
          <w:r>
            <w:rPr>
              <w:rFonts w:hint="eastAsia" w:ascii="等线" w:hAnsi="等线" w:eastAsia="等线" w:cs="等线"/>
            </w:rPr>
            <w:fldChar w:fldCharType="end"/>
          </w:r>
        </w:p>
        <w:p w14:paraId="0ECB4978">
          <w:pPr>
            <w:pStyle w:val="9"/>
            <w:tabs>
              <w:tab w:val="right" w:leader="dot" w:pos="8306"/>
            </w:tabs>
            <w:rPr>
              <w:rFonts w:hint="eastAsia" w:ascii="等线" w:hAnsi="等线" w:eastAsia="等线" w:cs="等线"/>
            </w:rPr>
          </w:pPr>
          <w:r>
            <w:fldChar w:fldCharType="begin"/>
          </w:r>
          <w:r>
            <w:instrText xml:space="preserve"> HYPERLINK \l "_Toc22476" </w:instrText>
          </w:r>
          <w:r>
            <w:fldChar w:fldCharType="separate"/>
          </w:r>
          <w:r>
            <w:rPr>
              <w:rFonts w:hint="eastAsia" w:ascii="等线" w:hAnsi="等线" w:eastAsia="等线" w:cs="等线"/>
            </w:rPr>
            <w:t>3. 项目申报、开题、中检、结题、变更审核</w:t>
          </w:r>
          <w:r>
            <w:rPr>
              <w:rFonts w:hint="eastAsia" w:ascii="等线" w:hAnsi="等线" w:eastAsia="等线" w:cs="等线"/>
            </w:rPr>
            <w:tab/>
          </w:r>
          <w:r>
            <w:rPr>
              <w:rFonts w:hint="eastAsia" w:ascii="等线" w:hAnsi="等线" w:eastAsia="等线" w:cs="等线"/>
            </w:rPr>
            <w:fldChar w:fldCharType="begin"/>
          </w:r>
          <w:r>
            <w:rPr>
              <w:rFonts w:hint="eastAsia" w:ascii="等线" w:hAnsi="等线" w:eastAsia="等线" w:cs="等线"/>
            </w:rPr>
            <w:instrText xml:space="preserve"> PAGEREF _Toc22476 \h </w:instrText>
          </w:r>
          <w:r>
            <w:rPr>
              <w:rFonts w:hint="eastAsia" w:ascii="等线" w:hAnsi="等线" w:eastAsia="等线" w:cs="等线"/>
            </w:rPr>
            <w:fldChar w:fldCharType="separate"/>
          </w:r>
          <w:r>
            <w:rPr>
              <w:rFonts w:hint="eastAsia" w:ascii="等线" w:hAnsi="等线" w:eastAsia="等线" w:cs="等线"/>
            </w:rPr>
            <w:t>5</w:t>
          </w:r>
          <w:r>
            <w:rPr>
              <w:rFonts w:hint="eastAsia" w:ascii="等线" w:hAnsi="等线" w:eastAsia="等线" w:cs="等线"/>
            </w:rPr>
            <w:fldChar w:fldCharType="end"/>
          </w:r>
          <w:r>
            <w:rPr>
              <w:rFonts w:hint="eastAsia" w:ascii="等线" w:hAnsi="等线" w:eastAsia="等线" w:cs="等线"/>
            </w:rPr>
            <w:fldChar w:fldCharType="end"/>
          </w:r>
        </w:p>
        <w:p w14:paraId="27CE38DE">
          <w:pPr>
            <w:pStyle w:val="9"/>
            <w:tabs>
              <w:tab w:val="right" w:leader="dot" w:pos="8306"/>
            </w:tabs>
            <w:rPr>
              <w:rFonts w:hint="eastAsia" w:ascii="等线" w:hAnsi="等线" w:eastAsia="等线" w:cs="等线"/>
            </w:rPr>
          </w:pPr>
          <w:r>
            <w:fldChar w:fldCharType="begin"/>
          </w:r>
          <w:r>
            <w:instrText xml:space="preserve"> HYPERLINK \l "_Toc30894" </w:instrText>
          </w:r>
          <w:r>
            <w:fldChar w:fldCharType="separate"/>
          </w:r>
          <w:r>
            <w:rPr>
              <w:rFonts w:hint="eastAsia" w:ascii="等线" w:hAnsi="等线" w:eastAsia="等线" w:cs="等线"/>
            </w:rPr>
            <w:t>4. 项目汇总查询</w:t>
          </w:r>
          <w:r>
            <w:rPr>
              <w:rFonts w:hint="eastAsia" w:ascii="等线" w:hAnsi="等线" w:eastAsia="等线" w:cs="等线"/>
            </w:rPr>
            <w:tab/>
          </w:r>
          <w:r>
            <w:rPr>
              <w:rFonts w:hint="eastAsia" w:ascii="等线" w:hAnsi="等线" w:eastAsia="等线" w:cs="等线"/>
            </w:rPr>
            <w:fldChar w:fldCharType="begin"/>
          </w:r>
          <w:r>
            <w:rPr>
              <w:rFonts w:hint="eastAsia" w:ascii="等线" w:hAnsi="等线" w:eastAsia="等线" w:cs="等线"/>
            </w:rPr>
            <w:instrText xml:space="preserve"> PAGEREF _Toc30894 \h </w:instrText>
          </w:r>
          <w:r>
            <w:rPr>
              <w:rFonts w:hint="eastAsia" w:ascii="等线" w:hAnsi="等线" w:eastAsia="等线" w:cs="等线"/>
            </w:rPr>
            <w:fldChar w:fldCharType="separate"/>
          </w:r>
          <w:r>
            <w:rPr>
              <w:rFonts w:hint="eastAsia" w:ascii="等线" w:hAnsi="等线" w:eastAsia="等线" w:cs="等线"/>
            </w:rPr>
            <w:t>7</w:t>
          </w:r>
          <w:r>
            <w:rPr>
              <w:rFonts w:hint="eastAsia" w:ascii="等线" w:hAnsi="等线" w:eastAsia="等线" w:cs="等线"/>
            </w:rPr>
            <w:fldChar w:fldCharType="end"/>
          </w:r>
          <w:r>
            <w:rPr>
              <w:rFonts w:hint="eastAsia" w:ascii="等线" w:hAnsi="等线" w:eastAsia="等线" w:cs="等线"/>
            </w:rPr>
            <w:fldChar w:fldCharType="end"/>
          </w:r>
        </w:p>
        <w:p w14:paraId="2D685FEF">
          <w:pPr>
            <w:pStyle w:val="9"/>
            <w:tabs>
              <w:tab w:val="right" w:leader="dot" w:pos="8306"/>
            </w:tabs>
            <w:rPr>
              <w:rFonts w:hint="eastAsia" w:ascii="等线" w:hAnsi="等线" w:eastAsia="等线" w:cs="等线"/>
            </w:rPr>
          </w:pPr>
          <w:r>
            <w:fldChar w:fldCharType="begin"/>
          </w:r>
          <w:r>
            <w:instrText xml:space="preserve"> HYPERLINK \l "_Toc11798" </w:instrText>
          </w:r>
          <w:r>
            <w:fldChar w:fldCharType="separate"/>
          </w:r>
          <w:r>
            <w:rPr>
              <w:rFonts w:hint="eastAsia" w:ascii="等线" w:hAnsi="等线" w:eastAsia="等线" w:cs="等线"/>
            </w:rPr>
            <w:t>5. 移动端</w:t>
          </w:r>
          <w:r>
            <w:rPr>
              <w:rFonts w:hint="eastAsia" w:ascii="等线" w:hAnsi="等线" w:eastAsia="等线" w:cs="等线"/>
            </w:rPr>
            <w:tab/>
          </w:r>
          <w:r>
            <w:rPr>
              <w:rFonts w:hint="eastAsia" w:ascii="等线" w:hAnsi="等线" w:eastAsia="等线" w:cs="等线"/>
            </w:rPr>
            <w:fldChar w:fldCharType="begin"/>
          </w:r>
          <w:r>
            <w:rPr>
              <w:rFonts w:hint="eastAsia" w:ascii="等线" w:hAnsi="等线" w:eastAsia="等线" w:cs="等线"/>
            </w:rPr>
            <w:instrText xml:space="preserve"> PAGEREF _Toc11798 \h </w:instrText>
          </w:r>
          <w:r>
            <w:rPr>
              <w:rFonts w:hint="eastAsia" w:ascii="等线" w:hAnsi="等线" w:eastAsia="等线" w:cs="等线"/>
            </w:rPr>
            <w:fldChar w:fldCharType="separate"/>
          </w:r>
          <w:r>
            <w:rPr>
              <w:rFonts w:hint="eastAsia" w:ascii="等线" w:hAnsi="等线" w:eastAsia="等线" w:cs="等线"/>
            </w:rPr>
            <w:t>8</w:t>
          </w:r>
          <w:r>
            <w:rPr>
              <w:rFonts w:hint="eastAsia" w:ascii="等线" w:hAnsi="等线" w:eastAsia="等线" w:cs="等线"/>
            </w:rPr>
            <w:fldChar w:fldCharType="end"/>
          </w:r>
          <w:r>
            <w:rPr>
              <w:rFonts w:hint="eastAsia" w:ascii="等线" w:hAnsi="等线" w:eastAsia="等线" w:cs="等线"/>
            </w:rPr>
            <w:fldChar w:fldCharType="end"/>
          </w:r>
        </w:p>
        <w:p w14:paraId="18353203">
          <w:pPr>
            <w:rPr>
              <w:rFonts w:hint="eastAsia" w:ascii="等线" w:hAnsi="等线" w:eastAsia="等线" w:cs="等线"/>
              <w:b/>
              <w:sz w:val="52"/>
              <w:szCs w:val="52"/>
            </w:rPr>
          </w:pPr>
          <w:r>
            <w:rPr>
              <w:rFonts w:hint="eastAsia" w:ascii="等线" w:hAnsi="等线" w:eastAsia="等线" w:cs="等线"/>
              <w:lang w:val="en-US"/>
            </w:rPr>
            <w:fldChar w:fldCharType="end"/>
          </w:r>
        </w:p>
      </w:sdtContent>
    </w:sdt>
    <w:p w14:paraId="4BCC5CEE">
      <w:pPr>
        <w:rPr>
          <w:rFonts w:hint="eastAsia" w:ascii="等线" w:hAnsi="等线" w:eastAsia="等线" w:cs="等线"/>
          <w:lang w:val="en-US"/>
        </w:rPr>
      </w:pPr>
      <w:bookmarkStart w:id="5" w:name="_Toc5764"/>
      <w:r>
        <w:rPr>
          <w:rFonts w:hint="eastAsia" w:ascii="等线" w:hAnsi="等线" w:eastAsia="等线" w:cs="等线"/>
          <w:lang w:val="en-US"/>
        </w:rPr>
        <w:br w:type="page"/>
      </w:r>
    </w:p>
    <w:p w14:paraId="7A15E701">
      <w:pPr>
        <w:rPr>
          <w:rFonts w:hint="eastAsia"/>
          <w:lang w:val="en-US"/>
        </w:rPr>
      </w:pPr>
    </w:p>
    <w:p w14:paraId="354C1BAF">
      <w:pPr>
        <w:pStyle w:val="2"/>
        <w:numPr>
          <w:ilvl w:val="0"/>
          <w:numId w:val="4"/>
        </w:numPr>
        <w:autoSpaceDE/>
        <w:autoSpaceDN/>
        <w:spacing w:line="360" w:lineRule="auto"/>
        <w:rPr>
          <w:rFonts w:hint="eastAsia" w:ascii="等线" w:hAnsi="等线" w:eastAsia="等线" w:cs="等线"/>
          <w:lang w:val="en-US"/>
        </w:rPr>
      </w:pPr>
      <w:r>
        <w:rPr>
          <w:rFonts w:hint="eastAsia" w:ascii="等线" w:hAnsi="等线" w:eastAsia="等线" w:cs="等线"/>
          <w:lang w:val="en-US"/>
        </w:rPr>
        <w:t>业务流程</w:t>
      </w:r>
      <w:bookmarkEnd w:id="5"/>
    </w:p>
    <w:p w14:paraId="43CEC80A">
      <w:pPr>
        <w:rPr>
          <w:rFonts w:hint="eastAsia" w:ascii="等线" w:hAnsi="等线" w:eastAsia="等线" w:cs="等线"/>
          <w:sz w:val="72"/>
          <w:szCs w:val="72"/>
        </w:rPr>
      </w:pPr>
      <w:r>
        <w:rPr>
          <w:rFonts w:hint="eastAsia" w:ascii="等线" w:hAnsi="等线" w:eastAsia="等线" w:cs="等线"/>
          <w:sz w:val="72"/>
          <w:szCs w:val="72"/>
        </w:rPr>
        <w:drawing>
          <wp:inline distT="0" distB="0" distL="114300" distR="114300">
            <wp:extent cx="5219065" cy="1716405"/>
            <wp:effectExtent l="0" t="0" r="635" b="17145"/>
            <wp:docPr id="22" name="F360BE8B-6686-4F3D-AEAF-501FE73E4058-2" descr="绘图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F360BE8B-6686-4F3D-AEAF-501FE73E4058-2" descr="绘图1(1)"/>
                    <pic:cNvPicPr>
                      <a:picLocks noChangeAspect="1"/>
                    </pic:cNvPicPr>
                  </pic:nvPicPr>
                  <pic:blipFill>
                    <a:blip r:embed="rId23"/>
                    <a:stretch>
                      <a:fillRect/>
                    </a:stretch>
                  </pic:blipFill>
                  <pic:spPr>
                    <a:xfrm>
                      <a:off x="0" y="0"/>
                      <a:ext cx="5219065" cy="1716405"/>
                    </a:xfrm>
                    <a:prstGeom prst="rect">
                      <a:avLst/>
                    </a:prstGeom>
                  </pic:spPr>
                </pic:pic>
              </a:graphicData>
            </a:graphic>
          </wp:inline>
        </w:drawing>
      </w:r>
    </w:p>
    <w:p w14:paraId="6EDCFBB3">
      <w:pPr>
        <w:autoSpaceDE/>
        <w:autoSpaceDN/>
        <w:spacing w:line="360" w:lineRule="auto"/>
        <w:ind w:firstLine="480" w:firstLineChars="200"/>
        <w:rPr>
          <w:rFonts w:hint="eastAsia" w:ascii="等线" w:hAnsi="等线" w:eastAsia="等线" w:cs="等线"/>
          <w:sz w:val="24"/>
          <w:szCs w:val="24"/>
          <w:lang w:val="en-US"/>
        </w:rPr>
      </w:pPr>
      <w:r>
        <w:rPr>
          <w:rFonts w:hint="eastAsia" w:ascii="等线" w:hAnsi="等线" w:eastAsia="等线" w:cs="等线"/>
          <w:sz w:val="24"/>
          <w:szCs w:val="24"/>
          <w:lang w:val="en-US"/>
        </w:rPr>
        <w:t>注：因开题、中检、结题环节在系统内是可以自定义配置的，如管理员未配置开题、中检、结题环节，则会员单位管理员不需要做对应阶段的审核。</w:t>
      </w:r>
    </w:p>
    <w:p w14:paraId="2EB0FA97">
      <w:pPr>
        <w:pStyle w:val="2"/>
        <w:numPr>
          <w:ilvl w:val="0"/>
          <w:numId w:val="4"/>
        </w:numPr>
        <w:autoSpaceDE/>
        <w:autoSpaceDN/>
        <w:spacing w:line="360" w:lineRule="auto"/>
        <w:rPr>
          <w:rFonts w:hint="eastAsia" w:ascii="等线" w:hAnsi="等线" w:eastAsia="等线" w:cs="等线"/>
          <w:lang w:val="en-US"/>
        </w:rPr>
      </w:pPr>
      <w:bookmarkStart w:id="6" w:name="_Toc12663"/>
      <w:r>
        <w:rPr>
          <w:rFonts w:hint="eastAsia" w:ascii="等线" w:hAnsi="等线" w:eastAsia="等线" w:cs="等线"/>
          <w:lang w:val="en-US"/>
        </w:rPr>
        <w:t>新增/导入本单位申报老师账号</w:t>
      </w:r>
      <w:bookmarkEnd w:id="6"/>
    </w:p>
    <w:p w14:paraId="568A305F">
      <w:pPr>
        <w:autoSpaceDE/>
        <w:autoSpaceDN/>
        <w:spacing w:line="360" w:lineRule="auto"/>
        <w:ind w:firstLine="480" w:firstLineChars="200"/>
        <w:rPr>
          <w:rFonts w:hint="eastAsia" w:ascii="等线" w:hAnsi="等线" w:eastAsia="等线" w:cs="等线"/>
          <w:sz w:val="24"/>
          <w:szCs w:val="24"/>
          <w:lang w:val="en-US"/>
        </w:rPr>
      </w:pPr>
      <w:r>
        <w:rPr>
          <w:rFonts w:hint="eastAsia" w:ascii="等线" w:hAnsi="等线" w:eastAsia="等线" w:cs="等线"/>
          <w:sz w:val="24"/>
          <w:szCs w:val="24"/>
          <w:lang w:val="en-US"/>
        </w:rPr>
        <w:t>会员单位管理员使用提供的账号登录系统：</w:t>
      </w:r>
    </w:p>
    <w:p w14:paraId="0E6E8B39">
      <w:pPr>
        <w:autoSpaceDE/>
        <w:autoSpaceDN/>
        <w:spacing w:line="360" w:lineRule="auto"/>
        <w:rPr>
          <w:rFonts w:hint="eastAsia" w:ascii="等线" w:hAnsi="等线" w:eastAsia="等线" w:cs="等线"/>
        </w:rPr>
      </w:pPr>
      <w:r>
        <w:rPr>
          <w:rFonts w:hint="eastAsia" w:ascii="等线" w:hAnsi="等线" w:eastAsia="等线" w:cs="等线"/>
        </w:rPr>
        <w:drawing>
          <wp:inline distT="0" distB="0" distL="114300" distR="114300">
            <wp:extent cx="5266690" cy="2583815"/>
            <wp:effectExtent l="9525" t="9525" r="19685" b="16510"/>
            <wp:docPr id="2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1"/>
                    <pic:cNvPicPr>
                      <a:picLocks noChangeAspect="1"/>
                    </pic:cNvPicPr>
                  </pic:nvPicPr>
                  <pic:blipFill>
                    <a:blip r:embed="rId8"/>
                    <a:stretch>
                      <a:fillRect/>
                    </a:stretch>
                  </pic:blipFill>
                  <pic:spPr>
                    <a:xfrm>
                      <a:off x="0" y="0"/>
                      <a:ext cx="5266690" cy="2583815"/>
                    </a:xfrm>
                    <a:prstGeom prst="rect">
                      <a:avLst/>
                    </a:prstGeom>
                    <a:noFill/>
                    <a:ln>
                      <a:solidFill>
                        <a:schemeClr val="bg1">
                          <a:lumMod val="85000"/>
                        </a:schemeClr>
                      </a:solidFill>
                    </a:ln>
                  </pic:spPr>
                </pic:pic>
              </a:graphicData>
            </a:graphic>
          </wp:inline>
        </w:drawing>
      </w:r>
    </w:p>
    <w:p w14:paraId="41DFD3F6">
      <w:pPr>
        <w:autoSpaceDE/>
        <w:autoSpaceDN/>
        <w:spacing w:line="360" w:lineRule="auto"/>
        <w:ind w:firstLine="480" w:firstLineChars="200"/>
        <w:rPr>
          <w:rFonts w:hint="eastAsia" w:ascii="等线" w:hAnsi="等线" w:eastAsia="等线" w:cs="等线"/>
          <w:sz w:val="24"/>
          <w:szCs w:val="24"/>
          <w:lang w:val="en-US"/>
        </w:rPr>
      </w:pPr>
      <w:r>
        <w:rPr>
          <w:rFonts w:hint="eastAsia" w:ascii="等线" w:hAnsi="等线" w:eastAsia="等线" w:cs="等线"/>
          <w:sz w:val="24"/>
          <w:szCs w:val="24"/>
          <w:lang w:val="en-US"/>
        </w:rPr>
        <w:t>进入【基础资源管理-教职工信息】页面：</w:t>
      </w:r>
    </w:p>
    <w:p w14:paraId="42D35E6E">
      <w:pPr>
        <w:rPr>
          <w:rFonts w:hint="eastAsia" w:ascii="等线" w:hAnsi="等线" w:eastAsia="等线" w:cs="等线"/>
        </w:rPr>
      </w:pPr>
    </w:p>
    <w:p w14:paraId="41DA888A">
      <w:pPr>
        <w:autoSpaceDE/>
        <w:autoSpaceDN/>
        <w:spacing w:line="360" w:lineRule="auto"/>
        <w:rPr>
          <w:rFonts w:hint="eastAsia" w:ascii="等线" w:hAnsi="等线" w:eastAsia="等线" w:cs="等线"/>
        </w:rPr>
      </w:pPr>
      <w:r>
        <w:rPr>
          <w:rFonts w:hint="eastAsia" w:ascii="等线" w:hAnsi="等线" w:eastAsia="等线" w:cs="等线"/>
        </w:rPr>
        <w:drawing>
          <wp:inline distT="0" distB="0" distL="114300" distR="114300">
            <wp:extent cx="5266690" cy="2583815"/>
            <wp:effectExtent l="9525" t="9525" r="19685" b="16510"/>
            <wp:docPr id="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pic:cNvPicPr>
                      <a:picLocks noChangeAspect="1"/>
                    </pic:cNvPicPr>
                  </pic:nvPicPr>
                  <pic:blipFill>
                    <a:blip r:embed="rId24"/>
                    <a:stretch>
                      <a:fillRect/>
                    </a:stretch>
                  </pic:blipFill>
                  <pic:spPr>
                    <a:xfrm>
                      <a:off x="0" y="0"/>
                      <a:ext cx="5266690" cy="2583815"/>
                    </a:xfrm>
                    <a:prstGeom prst="rect">
                      <a:avLst/>
                    </a:prstGeom>
                    <a:noFill/>
                    <a:ln>
                      <a:solidFill>
                        <a:schemeClr val="bg1">
                          <a:lumMod val="85000"/>
                        </a:schemeClr>
                      </a:solidFill>
                    </a:ln>
                  </pic:spPr>
                </pic:pic>
              </a:graphicData>
            </a:graphic>
          </wp:inline>
        </w:drawing>
      </w:r>
    </w:p>
    <w:p w14:paraId="77B4E328">
      <w:pPr>
        <w:autoSpaceDE/>
        <w:autoSpaceDN/>
        <w:spacing w:line="360" w:lineRule="auto"/>
        <w:ind w:firstLine="480" w:firstLineChars="200"/>
        <w:rPr>
          <w:rFonts w:hint="eastAsia" w:ascii="等线" w:hAnsi="等线" w:eastAsia="等线" w:cs="等线"/>
          <w:sz w:val="24"/>
          <w:szCs w:val="24"/>
          <w:lang w:val="en-US"/>
        </w:rPr>
      </w:pPr>
      <w:r>
        <w:rPr>
          <w:rFonts w:hint="eastAsia" w:ascii="等线" w:hAnsi="等线" w:eastAsia="等线" w:cs="等线"/>
          <w:sz w:val="24"/>
          <w:szCs w:val="24"/>
          <w:lang w:val="en-US"/>
        </w:rPr>
        <w:t>点击【新增】可以单个增加本单位申报老师账号；</w:t>
      </w:r>
    </w:p>
    <w:p w14:paraId="717B6B3E">
      <w:pPr>
        <w:rPr>
          <w:rFonts w:hint="eastAsia" w:ascii="等线" w:hAnsi="等线" w:eastAsia="等线" w:cs="等线"/>
        </w:rPr>
      </w:pPr>
      <w:r>
        <w:rPr>
          <w:rFonts w:hint="eastAsia" w:ascii="等线" w:hAnsi="等线" w:eastAsia="等线" w:cs="等线"/>
        </w:rPr>
        <w:drawing>
          <wp:inline distT="0" distB="0" distL="114300" distR="114300">
            <wp:extent cx="5266690" cy="2583815"/>
            <wp:effectExtent l="9525" t="9525" r="19685" b="16510"/>
            <wp:docPr id="25"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pic:cNvPicPr>
                      <a:picLocks noChangeAspect="1"/>
                    </pic:cNvPicPr>
                  </pic:nvPicPr>
                  <pic:blipFill>
                    <a:blip r:embed="rId25"/>
                    <a:stretch>
                      <a:fillRect/>
                    </a:stretch>
                  </pic:blipFill>
                  <pic:spPr>
                    <a:xfrm>
                      <a:off x="0" y="0"/>
                      <a:ext cx="5266690" cy="2583815"/>
                    </a:xfrm>
                    <a:prstGeom prst="rect">
                      <a:avLst/>
                    </a:prstGeom>
                    <a:noFill/>
                    <a:ln>
                      <a:solidFill>
                        <a:schemeClr val="bg1">
                          <a:lumMod val="85000"/>
                        </a:schemeClr>
                      </a:solidFill>
                    </a:ln>
                  </pic:spPr>
                </pic:pic>
              </a:graphicData>
            </a:graphic>
          </wp:inline>
        </w:drawing>
      </w:r>
    </w:p>
    <w:p w14:paraId="26CE1127">
      <w:pPr>
        <w:rPr>
          <w:rFonts w:hint="eastAsia" w:ascii="等线" w:hAnsi="等线" w:eastAsia="等线" w:cs="等线"/>
        </w:rPr>
      </w:pPr>
    </w:p>
    <w:p w14:paraId="4A74C0BC">
      <w:pPr>
        <w:autoSpaceDE/>
        <w:autoSpaceDN/>
        <w:spacing w:line="360" w:lineRule="auto"/>
        <w:ind w:firstLine="480" w:firstLineChars="200"/>
        <w:rPr>
          <w:rFonts w:hint="eastAsia" w:ascii="等线" w:hAnsi="等线" w:eastAsia="等线" w:cs="等线"/>
          <w:sz w:val="24"/>
          <w:szCs w:val="24"/>
          <w:lang w:val="en-US"/>
        </w:rPr>
      </w:pPr>
      <w:r>
        <w:rPr>
          <w:rFonts w:hint="eastAsia" w:ascii="等线" w:hAnsi="等线" w:eastAsia="等线" w:cs="等线"/>
          <w:sz w:val="24"/>
          <w:szCs w:val="24"/>
          <w:lang w:val="en-US"/>
        </w:rPr>
        <w:t>点击【导入】可以批量增加本单位申报老师账号（先下载导入模板，按规则填充数据后上传导入）；</w:t>
      </w:r>
    </w:p>
    <w:p w14:paraId="7C12D5A5">
      <w:pPr>
        <w:rPr>
          <w:rFonts w:hint="eastAsia" w:ascii="等线" w:hAnsi="等线" w:eastAsia="等线" w:cs="等线"/>
        </w:rPr>
      </w:pPr>
    </w:p>
    <w:p w14:paraId="799B039D">
      <w:pPr>
        <w:rPr>
          <w:rFonts w:hint="eastAsia" w:ascii="等线" w:hAnsi="等线" w:eastAsia="等线" w:cs="等线"/>
        </w:rPr>
      </w:pPr>
      <w:r>
        <w:rPr>
          <w:rFonts w:hint="eastAsia" w:ascii="等线" w:hAnsi="等线" w:eastAsia="等线" w:cs="等线"/>
        </w:rPr>
        <w:drawing>
          <wp:inline distT="0" distB="0" distL="114300" distR="114300">
            <wp:extent cx="5266690" cy="2583815"/>
            <wp:effectExtent l="9525" t="9525" r="19685" b="16510"/>
            <wp:docPr id="26"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4"/>
                    <pic:cNvPicPr>
                      <a:picLocks noChangeAspect="1"/>
                    </pic:cNvPicPr>
                  </pic:nvPicPr>
                  <pic:blipFill>
                    <a:blip r:embed="rId26"/>
                    <a:stretch>
                      <a:fillRect/>
                    </a:stretch>
                  </pic:blipFill>
                  <pic:spPr>
                    <a:xfrm>
                      <a:off x="0" y="0"/>
                      <a:ext cx="5266690" cy="2583815"/>
                    </a:xfrm>
                    <a:prstGeom prst="rect">
                      <a:avLst/>
                    </a:prstGeom>
                    <a:noFill/>
                    <a:ln>
                      <a:solidFill>
                        <a:schemeClr val="bg1">
                          <a:lumMod val="85000"/>
                        </a:schemeClr>
                      </a:solidFill>
                    </a:ln>
                  </pic:spPr>
                </pic:pic>
              </a:graphicData>
            </a:graphic>
          </wp:inline>
        </w:drawing>
      </w:r>
      <w:r>
        <w:rPr>
          <w:rFonts w:hint="eastAsia" w:ascii="等线" w:hAnsi="等线" w:eastAsia="等线" w:cs="等线"/>
        </w:rPr>
        <w:drawing>
          <wp:inline distT="0" distB="0" distL="114300" distR="114300">
            <wp:extent cx="5266690" cy="2263140"/>
            <wp:effectExtent l="9525" t="9525" r="19685" b="13335"/>
            <wp:docPr id="27"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3"/>
                    <pic:cNvPicPr>
                      <a:picLocks noChangeAspect="1"/>
                    </pic:cNvPicPr>
                  </pic:nvPicPr>
                  <pic:blipFill>
                    <a:blip r:embed="rId27"/>
                    <a:stretch>
                      <a:fillRect/>
                    </a:stretch>
                  </pic:blipFill>
                  <pic:spPr>
                    <a:xfrm>
                      <a:off x="0" y="0"/>
                      <a:ext cx="5266690" cy="2263140"/>
                    </a:xfrm>
                    <a:prstGeom prst="rect">
                      <a:avLst/>
                    </a:prstGeom>
                    <a:noFill/>
                    <a:ln>
                      <a:solidFill>
                        <a:schemeClr val="bg1">
                          <a:lumMod val="85000"/>
                        </a:schemeClr>
                      </a:solidFill>
                    </a:ln>
                  </pic:spPr>
                </pic:pic>
              </a:graphicData>
            </a:graphic>
          </wp:inline>
        </w:drawing>
      </w:r>
    </w:p>
    <w:p w14:paraId="4AE694CC">
      <w:pPr>
        <w:autoSpaceDE/>
        <w:autoSpaceDN/>
        <w:spacing w:line="360" w:lineRule="auto"/>
        <w:ind w:firstLine="480" w:firstLineChars="200"/>
        <w:rPr>
          <w:rFonts w:hint="eastAsia" w:ascii="等线" w:hAnsi="等线" w:eastAsia="等线" w:cs="等线"/>
          <w:sz w:val="24"/>
          <w:szCs w:val="24"/>
          <w:lang w:val="en-US"/>
        </w:rPr>
      </w:pPr>
      <w:r>
        <w:rPr>
          <w:rFonts w:hint="eastAsia" w:ascii="等线" w:hAnsi="等线" w:eastAsia="等线" w:cs="等线"/>
          <w:sz w:val="24"/>
          <w:szCs w:val="24"/>
          <w:lang w:val="en-US"/>
        </w:rPr>
        <w:t>注：请不要随意修改、删除其他会员单位的申报老师账号信息。</w:t>
      </w:r>
    </w:p>
    <w:p w14:paraId="0AE72C35">
      <w:pPr>
        <w:rPr>
          <w:rFonts w:hint="eastAsia" w:ascii="等线" w:hAnsi="等线" w:eastAsia="等线" w:cs="等线"/>
        </w:rPr>
      </w:pPr>
    </w:p>
    <w:p w14:paraId="6197956A">
      <w:pPr>
        <w:rPr>
          <w:rFonts w:hint="eastAsia" w:ascii="等线" w:hAnsi="等线" w:eastAsia="等线" w:cs="等线"/>
        </w:rPr>
      </w:pPr>
    </w:p>
    <w:p w14:paraId="0F4BEB23">
      <w:pPr>
        <w:numPr>
          <w:ilvl w:val="0"/>
          <w:numId w:val="5"/>
        </w:numPr>
        <w:autoSpaceDE/>
        <w:autoSpaceDN/>
        <w:spacing w:line="360" w:lineRule="auto"/>
        <w:rPr>
          <w:rFonts w:hint="eastAsia" w:ascii="等线" w:hAnsi="等线" w:eastAsia="等线" w:cs="等线"/>
          <w:sz w:val="24"/>
          <w:szCs w:val="24"/>
          <w:lang w:val="en-US"/>
        </w:rPr>
      </w:pPr>
      <w:r>
        <w:rPr>
          <w:rFonts w:hint="eastAsia" w:ascii="等线" w:hAnsi="等线" w:eastAsia="等线" w:cs="等线"/>
          <w:sz w:val="24"/>
          <w:szCs w:val="24"/>
          <w:lang w:val="en-US"/>
        </w:rPr>
        <w:t>审核</w:t>
      </w:r>
    </w:p>
    <w:p w14:paraId="6E885935">
      <w:pPr>
        <w:autoSpaceDE/>
        <w:autoSpaceDN/>
        <w:spacing w:line="360" w:lineRule="auto"/>
        <w:ind w:firstLine="480" w:firstLineChars="200"/>
        <w:rPr>
          <w:rFonts w:hint="eastAsia" w:ascii="等线" w:hAnsi="等线" w:eastAsia="等线" w:cs="等线"/>
          <w:sz w:val="24"/>
          <w:szCs w:val="24"/>
          <w:lang w:val="en-US"/>
        </w:rPr>
      </w:pPr>
      <w:r>
        <w:rPr>
          <w:rFonts w:hint="eastAsia" w:ascii="等线" w:hAnsi="等线" w:eastAsia="等线" w:cs="等线"/>
          <w:sz w:val="24"/>
          <w:szCs w:val="24"/>
          <w:lang w:val="en-US"/>
        </w:rPr>
        <w:t>在审核列表，点击审核，弹出审核界面，选择对应审核结果即可审核;勾选多条数据可进行批量审核。</w:t>
      </w:r>
    </w:p>
    <w:p w14:paraId="7FD328A2">
      <w:pPr>
        <w:autoSpaceDE/>
        <w:autoSpaceDN/>
        <w:spacing w:line="360" w:lineRule="auto"/>
        <w:rPr>
          <w:rFonts w:hint="eastAsia" w:ascii="等线" w:hAnsi="等线" w:eastAsia="等线" w:cs="等线"/>
          <w:sz w:val="24"/>
          <w:szCs w:val="24"/>
          <w:lang w:val="en-US"/>
        </w:rPr>
      </w:pPr>
      <w:r>
        <w:rPr>
          <w:rFonts w:hint="eastAsia" w:ascii="等线" w:hAnsi="等线" w:eastAsia="等线" w:cs="等线"/>
        </w:rPr>
        <w:drawing>
          <wp:inline distT="0" distB="0" distL="114300" distR="114300">
            <wp:extent cx="5266055" cy="2564765"/>
            <wp:effectExtent l="9525" t="9525" r="20320" b="16510"/>
            <wp:docPr id="2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8"/>
                    <pic:cNvPicPr>
                      <a:picLocks noChangeAspect="1"/>
                    </pic:cNvPicPr>
                  </pic:nvPicPr>
                  <pic:blipFill>
                    <a:blip r:embed="rId28"/>
                    <a:stretch>
                      <a:fillRect/>
                    </a:stretch>
                  </pic:blipFill>
                  <pic:spPr>
                    <a:xfrm>
                      <a:off x="0" y="0"/>
                      <a:ext cx="5266055" cy="2564765"/>
                    </a:xfrm>
                    <a:prstGeom prst="rect">
                      <a:avLst/>
                    </a:prstGeom>
                    <a:noFill/>
                    <a:ln>
                      <a:solidFill>
                        <a:schemeClr val="bg1">
                          <a:lumMod val="85000"/>
                        </a:schemeClr>
                      </a:solidFill>
                    </a:ln>
                  </pic:spPr>
                </pic:pic>
              </a:graphicData>
            </a:graphic>
          </wp:inline>
        </w:drawing>
      </w:r>
    </w:p>
    <w:p w14:paraId="62CABBB8">
      <w:pPr>
        <w:pStyle w:val="2"/>
        <w:numPr>
          <w:ilvl w:val="0"/>
          <w:numId w:val="4"/>
        </w:numPr>
        <w:autoSpaceDE/>
        <w:autoSpaceDN/>
        <w:spacing w:line="360" w:lineRule="auto"/>
        <w:rPr>
          <w:rFonts w:hint="eastAsia" w:ascii="等线" w:hAnsi="等线" w:eastAsia="等线" w:cs="等线"/>
          <w:lang w:val="en-US"/>
        </w:rPr>
      </w:pPr>
      <w:bookmarkStart w:id="7" w:name="_Toc22476"/>
      <w:r>
        <w:rPr>
          <w:rFonts w:hint="eastAsia" w:ascii="等线" w:hAnsi="等线" w:eastAsia="等线" w:cs="等线"/>
          <w:lang w:val="en-US"/>
        </w:rPr>
        <w:t>项目申报、开题、中检、结题、变更审核</w:t>
      </w:r>
      <w:bookmarkEnd w:id="7"/>
    </w:p>
    <w:p w14:paraId="16907F34">
      <w:pPr>
        <w:autoSpaceDE/>
        <w:autoSpaceDN/>
        <w:spacing w:line="360" w:lineRule="auto"/>
        <w:ind w:firstLine="480" w:firstLineChars="200"/>
        <w:rPr>
          <w:rFonts w:hint="eastAsia" w:ascii="等线" w:hAnsi="等线" w:eastAsia="等线" w:cs="等线"/>
          <w:sz w:val="24"/>
          <w:szCs w:val="24"/>
          <w:lang w:val="en-US"/>
        </w:rPr>
      </w:pPr>
      <w:r>
        <w:rPr>
          <w:rFonts w:hint="eastAsia" w:ascii="等线" w:hAnsi="等线" w:eastAsia="等线" w:cs="等线"/>
          <w:sz w:val="24"/>
          <w:szCs w:val="24"/>
          <w:lang w:val="en-US"/>
        </w:rPr>
        <w:t>本单位的申报老师提交项目申报、开题、中检、结题、变更后，会员单位管理员可进入对应阶段的审核菜单进行审核，也可在首页进行快捷审核；</w:t>
      </w:r>
    </w:p>
    <w:p w14:paraId="406C9CF2">
      <w:pPr>
        <w:rPr>
          <w:rFonts w:hint="eastAsia" w:ascii="等线" w:hAnsi="等线" w:eastAsia="等线" w:cs="等线"/>
          <w:lang w:val="en-US"/>
        </w:rPr>
      </w:pPr>
      <w:r>
        <w:rPr>
          <w:rFonts w:hint="eastAsia" w:ascii="等线" w:hAnsi="等线" w:eastAsia="等线" w:cs="等线"/>
        </w:rPr>
        <w:drawing>
          <wp:inline distT="0" distB="0" distL="114300" distR="114300">
            <wp:extent cx="5266690" cy="2583815"/>
            <wp:effectExtent l="9525" t="9525" r="19685" b="16510"/>
            <wp:docPr id="29"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8"/>
                    <pic:cNvPicPr>
                      <a:picLocks noChangeAspect="1"/>
                    </pic:cNvPicPr>
                  </pic:nvPicPr>
                  <pic:blipFill>
                    <a:blip r:embed="rId29"/>
                    <a:stretch>
                      <a:fillRect/>
                    </a:stretch>
                  </pic:blipFill>
                  <pic:spPr>
                    <a:xfrm>
                      <a:off x="0" y="0"/>
                      <a:ext cx="5266690" cy="2583815"/>
                    </a:xfrm>
                    <a:prstGeom prst="rect">
                      <a:avLst/>
                    </a:prstGeom>
                    <a:noFill/>
                    <a:ln>
                      <a:solidFill>
                        <a:schemeClr val="bg1">
                          <a:lumMod val="85000"/>
                        </a:schemeClr>
                      </a:solidFill>
                    </a:ln>
                  </pic:spPr>
                </pic:pic>
              </a:graphicData>
            </a:graphic>
          </wp:inline>
        </w:drawing>
      </w:r>
    </w:p>
    <w:p w14:paraId="21CDCC74">
      <w:pPr>
        <w:autoSpaceDE/>
        <w:autoSpaceDN/>
        <w:spacing w:line="360" w:lineRule="auto"/>
        <w:rPr>
          <w:rFonts w:hint="eastAsia" w:ascii="等线" w:hAnsi="等线" w:eastAsia="等线" w:cs="等线"/>
        </w:rPr>
      </w:pPr>
      <w:r>
        <w:rPr>
          <w:rFonts w:hint="eastAsia" w:ascii="等线" w:hAnsi="等线" w:eastAsia="等线" w:cs="等线"/>
        </w:rPr>
        <w:drawing>
          <wp:inline distT="0" distB="0" distL="114300" distR="114300">
            <wp:extent cx="5266690" cy="2583815"/>
            <wp:effectExtent l="9525" t="9525" r="19685" b="16510"/>
            <wp:docPr id="30"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5"/>
                    <pic:cNvPicPr>
                      <a:picLocks noChangeAspect="1"/>
                    </pic:cNvPicPr>
                  </pic:nvPicPr>
                  <pic:blipFill>
                    <a:blip r:embed="rId30"/>
                    <a:stretch>
                      <a:fillRect/>
                    </a:stretch>
                  </pic:blipFill>
                  <pic:spPr>
                    <a:xfrm>
                      <a:off x="0" y="0"/>
                      <a:ext cx="5266690" cy="2583815"/>
                    </a:xfrm>
                    <a:prstGeom prst="rect">
                      <a:avLst/>
                    </a:prstGeom>
                    <a:noFill/>
                    <a:ln>
                      <a:solidFill>
                        <a:schemeClr val="bg1">
                          <a:lumMod val="85000"/>
                        </a:schemeClr>
                      </a:solidFill>
                    </a:ln>
                  </pic:spPr>
                </pic:pic>
              </a:graphicData>
            </a:graphic>
          </wp:inline>
        </w:drawing>
      </w:r>
    </w:p>
    <w:p w14:paraId="6F293E20">
      <w:pPr>
        <w:autoSpaceDE/>
        <w:autoSpaceDN/>
        <w:spacing w:line="360" w:lineRule="auto"/>
        <w:ind w:firstLine="480" w:firstLineChars="200"/>
        <w:jc w:val="both"/>
        <w:rPr>
          <w:rFonts w:hint="eastAsia" w:ascii="等线" w:hAnsi="等线" w:eastAsia="等线" w:cs="等线"/>
          <w:sz w:val="24"/>
          <w:szCs w:val="24"/>
          <w:lang w:val="en-US"/>
        </w:rPr>
      </w:pPr>
      <w:r>
        <w:rPr>
          <w:rFonts w:hint="eastAsia" w:ascii="等线" w:hAnsi="等线" w:eastAsia="等线" w:cs="等线"/>
          <w:sz w:val="24"/>
          <w:szCs w:val="24"/>
          <w:lang w:val="en-US"/>
        </w:rPr>
        <w:t>审核支持单个项目审核与批量审核：</w:t>
      </w:r>
    </w:p>
    <w:p w14:paraId="1C41567A">
      <w:pPr>
        <w:numPr>
          <w:ilvl w:val="0"/>
          <w:numId w:val="3"/>
        </w:numPr>
        <w:autoSpaceDE/>
        <w:autoSpaceDN/>
        <w:spacing w:line="360" w:lineRule="auto"/>
        <w:rPr>
          <w:rFonts w:hint="eastAsia" w:ascii="等线" w:hAnsi="等线" w:eastAsia="等线" w:cs="等线"/>
          <w:sz w:val="24"/>
          <w:szCs w:val="24"/>
          <w:lang w:val="en-US"/>
        </w:rPr>
      </w:pPr>
      <w:r>
        <w:rPr>
          <w:rFonts w:hint="eastAsia" w:ascii="等线" w:hAnsi="等线" w:eastAsia="等线" w:cs="等线"/>
          <w:sz w:val="24"/>
          <w:szCs w:val="24"/>
          <w:lang w:val="en-US"/>
        </w:rPr>
        <w:t>审核通过：项目会流转到下一个审核环节；</w:t>
      </w:r>
    </w:p>
    <w:p w14:paraId="119F3BBF">
      <w:pPr>
        <w:numPr>
          <w:ilvl w:val="0"/>
          <w:numId w:val="3"/>
        </w:numPr>
        <w:autoSpaceDE/>
        <w:autoSpaceDN/>
        <w:spacing w:line="360" w:lineRule="auto"/>
        <w:rPr>
          <w:rFonts w:hint="eastAsia" w:ascii="等线" w:hAnsi="等线" w:eastAsia="等线" w:cs="等线"/>
          <w:sz w:val="24"/>
          <w:szCs w:val="24"/>
          <w:lang w:val="en-US"/>
        </w:rPr>
      </w:pPr>
      <w:r>
        <w:rPr>
          <w:rFonts w:hint="eastAsia" w:ascii="等线" w:hAnsi="等线" w:eastAsia="等线" w:cs="等线"/>
          <w:sz w:val="24"/>
          <w:szCs w:val="24"/>
          <w:lang w:val="en-US"/>
        </w:rPr>
        <w:t>审核不通过：项目将直接被中止，无法再进行任何操作（慎用）；</w:t>
      </w:r>
    </w:p>
    <w:p w14:paraId="24C3D56C">
      <w:pPr>
        <w:numPr>
          <w:ilvl w:val="0"/>
          <w:numId w:val="3"/>
        </w:numPr>
        <w:autoSpaceDE/>
        <w:autoSpaceDN/>
        <w:spacing w:line="360" w:lineRule="auto"/>
        <w:rPr>
          <w:rFonts w:hint="eastAsia" w:ascii="等线" w:hAnsi="等线" w:eastAsia="等线" w:cs="等线"/>
          <w:sz w:val="24"/>
          <w:szCs w:val="24"/>
          <w:lang w:val="en-US"/>
        </w:rPr>
      </w:pPr>
      <w:r>
        <w:rPr>
          <w:rFonts w:hint="eastAsia" w:ascii="等线" w:hAnsi="等线" w:eastAsia="等线" w:cs="等线"/>
          <w:sz w:val="24"/>
          <w:szCs w:val="24"/>
          <w:lang w:val="en-US"/>
        </w:rPr>
        <w:t>退回发起人：项目信息将打回给申报老师修改，修改完成后申报老师可再次提交送审；</w:t>
      </w:r>
    </w:p>
    <w:p w14:paraId="07DF4B35">
      <w:pPr>
        <w:numPr>
          <w:ilvl w:val="0"/>
          <w:numId w:val="3"/>
        </w:numPr>
        <w:autoSpaceDE/>
        <w:autoSpaceDN/>
        <w:spacing w:line="360" w:lineRule="auto"/>
        <w:rPr>
          <w:rFonts w:hint="eastAsia" w:ascii="等线" w:hAnsi="等线" w:eastAsia="等线" w:cs="等线"/>
        </w:rPr>
      </w:pPr>
      <w:r>
        <w:rPr>
          <w:rFonts w:hint="eastAsia" w:ascii="等线" w:hAnsi="等线" w:eastAsia="等线" w:cs="等线"/>
          <w:sz w:val="24"/>
          <w:szCs w:val="24"/>
          <w:lang w:val="en-US"/>
        </w:rPr>
        <w:t>退回上一节点：项目会退回到上一个审核环节。</w:t>
      </w:r>
    </w:p>
    <w:p w14:paraId="1C54E1DC">
      <w:pPr>
        <w:rPr>
          <w:rFonts w:hint="eastAsia" w:ascii="等线" w:hAnsi="等线" w:eastAsia="等线" w:cs="等线"/>
          <w:sz w:val="24"/>
          <w:szCs w:val="24"/>
          <w:lang w:val="en-US"/>
        </w:rPr>
      </w:pPr>
      <w:r>
        <w:rPr>
          <w:rFonts w:hint="eastAsia" w:ascii="等线" w:hAnsi="等线" w:eastAsia="等线" w:cs="等线"/>
        </w:rPr>
        <w:drawing>
          <wp:inline distT="0" distB="0" distL="114300" distR="114300">
            <wp:extent cx="5266690" cy="2583815"/>
            <wp:effectExtent l="0" t="0" r="10160" b="6985"/>
            <wp:docPr id="31"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6"/>
                    <pic:cNvPicPr>
                      <a:picLocks noChangeAspect="1"/>
                    </pic:cNvPicPr>
                  </pic:nvPicPr>
                  <pic:blipFill>
                    <a:blip r:embed="rId31"/>
                    <a:stretch>
                      <a:fillRect/>
                    </a:stretch>
                  </pic:blipFill>
                  <pic:spPr>
                    <a:xfrm>
                      <a:off x="0" y="0"/>
                      <a:ext cx="5266690" cy="2583815"/>
                    </a:xfrm>
                    <a:prstGeom prst="rect">
                      <a:avLst/>
                    </a:prstGeom>
                    <a:noFill/>
                    <a:ln>
                      <a:noFill/>
                    </a:ln>
                  </pic:spPr>
                </pic:pic>
              </a:graphicData>
            </a:graphic>
          </wp:inline>
        </w:drawing>
      </w:r>
    </w:p>
    <w:p w14:paraId="7F6971D6">
      <w:pPr>
        <w:autoSpaceDE/>
        <w:autoSpaceDN/>
        <w:spacing w:line="360" w:lineRule="auto"/>
        <w:ind w:firstLine="480" w:firstLineChars="200"/>
        <w:rPr>
          <w:rFonts w:hint="eastAsia" w:ascii="等线" w:hAnsi="等线" w:eastAsia="等线" w:cs="等线"/>
          <w:sz w:val="24"/>
          <w:szCs w:val="24"/>
          <w:lang w:val="en-US"/>
        </w:rPr>
      </w:pPr>
      <w:r>
        <w:rPr>
          <w:rFonts w:hint="eastAsia" w:ascii="等线" w:hAnsi="等线" w:eastAsia="等线" w:cs="等线"/>
          <w:sz w:val="24"/>
          <w:szCs w:val="24"/>
          <w:lang w:val="en-US"/>
        </w:rPr>
        <w:t>对于审核错误的数据，可以进入【已审核】列表，在下一节点还未审核的情况下，点击【撤销审核】按钮撤销该项目当前的审核结果，撤销成功后该数据将恢复到待审核状态，并可在【待审核】列表中再次审核。</w:t>
      </w:r>
    </w:p>
    <w:p w14:paraId="0B41126F">
      <w:pPr>
        <w:autoSpaceDE/>
        <w:autoSpaceDN/>
        <w:spacing w:line="360" w:lineRule="auto"/>
        <w:rPr>
          <w:rFonts w:hint="eastAsia" w:ascii="等线" w:hAnsi="等线" w:eastAsia="等线" w:cs="等线"/>
          <w:lang w:val="en-US"/>
        </w:rPr>
      </w:pPr>
      <w:r>
        <w:rPr>
          <w:rFonts w:hint="eastAsia" w:ascii="等线" w:hAnsi="等线" w:eastAsia="等线" w:cs="等线"/>
        </w:rPr>
        <w:drawing>
          <wp:inline distT="0" distB="0" distL="114300" distR="114300">
            <wp:extent cx="5270500" cy="2596515"/>
            <wp:effectExtent l="9525" t="9525" r="15875" b="22860"/>
            <wp:docPr id="86" name="图片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图片 65"/>
                    <pic:cNvPicPr>
                      <a:picLocks noChangeAspect="1"/>
                    </pic:cNvPicPr>
                  </pic:nvPicPr>
                  <pic:blipFill>
                    <a:blip r:embed="rId32"/>
                    <a:stretch>
                      <a:fillRect/>
                    </a:stretch>
                  </pic:blipFill>
                  <pic:spPr>
                    <a:xfrm>
                      <a:off x="0" y="0"/>
                      <a:ext cx="5270500" cy="2596515"/>
                    </a:xfrm>
                    <a:prstGeom prst="rect">
                      <a:avLst/>
                    </a:prstGeom>
                    <a:noFill/>
                    <a:ln>
                      <a:solidFill>
                        <a:schemeClr val="bg1">
                          <a:lumMod val="85000"/>
                        </a:schemeClr>
                      </a:solidFill>
                    </a:ln>
                  </pic:spPr>
                </pic:pic>
              </a:graphicData>
            </a:graphic>
          </wp:inline>
        </w:drawing>
      </w:r>
    </w:p>
    <w:p w14:paraId="5A6CF12F">
      <w:pPr>
        <w:pStyle w:val="2"/>
        <w:numPr>
          <w:ilvl w:val="0"/>
          <w:numId w:val="4"/>
        </w:numPr>
        <w:autoSpaceDE/>
        <w:autoSpaceDN/>
        <w:spacing w:line="360" w:lineRule="auto"/>
        <w:rPr>
          <w:rFonts w:hint="eastAsia" w:ascii="等线" w:hAnsi="等线" w:eastAsia="等线" w:cs="等线"/>
          <w:lang w:val="en-US"/>
        </w:rPr>
      </w:pPr>
      <w:bookmarkStart w:id="8" w:name="_Toc30894"/>
      <w:r>
        <w:rPr>
          <w:rFonts w:hint="eastAsia" w:ascii="等线" w:hAnsi="等线" w:eastAsia="等线" w:cs="等线"/>
          <w:lang w:val="en-US"/>
        </w:rPr>
        <w:t>项目汇总查询</w:t>
      </w:r>
      <w:bookmarkEnd w:id="8"/>
    </w:p>
    <w:p w14:paraId="206D6F25">
      <w:pPr>
        <w:autoSpaceDE/>
        <w:autoSpaceDN/>
        <w:spacing w:line="360" w:lineRule="auto"/>
        <w:ind w:firstLine="480" w:firstLineChars="200"/>
        <w:rPr>
          <w:rFonts w:hint="eastAsia" w:ascii="等线" w:hAnsi="等线" w:eastAsia="等线" w:cs="等线"/>
          <w:sz w:val="24"/>
          <w:szCs w:val="24"/>
          <w:lang w:val="en-US"/>
        </w:rPr>
      </w:pPr>
      <w:r>
        <w:rPr>
          <w:rFonts w:hint="eastAsia" w:ascii="等线" w:hAnsi="等线" w:eastAsia="等线" w:cs="等线"/>
          <w:sz w:val="24"/>
          <w:szCs w:val="24"/>
          <w:lang w:val="en-US"/>
        </w:rPr>
        <w:t>会员单位管理员进入【项目汇总管理-项目汇总查询】页面，可以查询本单位所有已提交申报的项目。点击【导出Excel】按钮可导出项目数据Excel；点击【下载项目材料】可选择下载项目各阶段的资料。</w:t>
      </w:r>
    </w:p>
    <w:p w14:paraId="214D9478">
      <w:pPr>
        <w:autoSpaceDE/>
        <w:autoSpaceDN/>
        <w:spacing w:line="360" w:lineRule="auto"/>
        <w:rPr>
          <w:rFonts w:hint="eastAsia" w:ascii="等线" w:hAnsi="等线" w:eastAsia="等线" w:cs="等线"/>
        </w:rPr>
      </w:pPr>
      <w:r>
        <w:rPr>
          <w:rFonts w:hint="eastAsia" w:ascii="等线" w:hAnsi="等线" w:eastAsia="等线" w:cs="等线"/>
        </w:rPr>
        <w:drawing>
          <wp:inline distT="0" distB="0" distL="114300" distR="114300">
            <wp:extent cx="5270500" cy="2775585"/>
            <wp:effectExtent l="9525" t="9525" r="15875" b="15240"/>
            <wp:docPr id="32"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9"/>
                    <pic:cNvPicPr>
                      <a:picLocks noChangeAspect="1"/>
                    </pic:cNvPicPr>
                  </pic:nvPicPr>
                  <pic:blipFill>
                    <a:blip r:embed="rId33"/>
                    <a:stretch>
                      <a:fillRect/>
                    </a:stretch>
                  </pic:blipFill>
                  <pic:spPr>
                    <a:xfrm>
                      <a:off x="0" y="0"/>
                      <a:ext cx="5270500" cy="2775585"/>
                    </a:xfrm>
                    <a:prstGeom prst="rect">
                      <a:avLst/>
                    </a:prstGeom>
                    <a:noFill/>
                    <a:ln>
                      <a:solidFill>
                        <a:schemeClr val="bg1">
                          <a:lumMod val="85000"/>
                        </a:schemeClr>
                      </a:solidFill>
                    </a:ln>
                  </pic:spPr>
                </pic:pic>
              </a:graphicData>
            </a:graphic>
          </wp:inline>
        </w:drawing>
      </w:r>
    </w:p>
    <w:p w14:paraId="384571A6">
      <w:pPr>
        <w:autoSpaceDE/>
        <w:autoSpaceDN/>
        <w:spacing w:line="360" w:lineRule="auto"/>
        <w:ind w:firstLine="480" w:firstLineChars="200"/>
        <w:rPr>
          <w:rFonts w:hint="eastAsia" w:ascii="等线" w:hAnsi="等线" w:eastAsia="等线" w:cs="等线"/>
          <w:sz w:val="24"/>
          <w:szCs w:val="24"/>
          <w:lang w:val="en-US"/>
        </w:rPr>
      </w:pPr>
      <w:r>
        <w:rPr>
          <w:rFonts w:hint="eastAsia" w:ascii="等线" w:hAnsi="等线" w:eastAsia="等线" w:cs="等线"/>
          <w:sz w:val="24"/>
          <w:szCs w:val="24"/>
          <w:lang w:val="en-US"/>
        </w:rPr>
        <w:t>点击【查看】按钮，可随时查看项目的基本信息、各阶段提交的项目文档、各阶段审核历史、各阶段的最终结论、变更历史情况等。</w:t>
      </w:r>
    </w:p>
    <w:p w14:paraId="5B25ADAB">
      <w:pPr>
        <w:autoSpaceDE/>
        <w:autoSpaceDN/>
        <w:spacing w:line="360" w:lineRule="auto"/>
        <w:rPr>
          <w:rFonts w:hint="eastAsia" w:ascii="等线" w:hAnsi="等线" w:eastAsia="等线" w:cs="等线"/>
        </w:rPr>
      </w:pPr>
    </w:p>
    <w:p w14:paraId="4F845415">
      <w:pPr>
        <w:autoSpaceDE/>
        <w:autoSpaceDN/>
        <w:spacing w:line="360" w:lineRule="auto"/>
        <w:rPr>
          <w:rFonts w:hint="eastAsia" w:ascii="等线" w:hAnsi="等线" w:eastAsia="等线" w:cs="等线"/>
        </w:rPr>
      </w:pPr>
      <w:r>
        <w:rPr>
          <w:rFonts w:hint="eastAsia" w:ascii="等线" w:hAnsi="等线" w:eastAsia="等线" w:cs="等线"/>
        </w:rPr>
        <w:drawing>
          <wp:inline distT="0" distB="0" distL="114300" distR="114300">
            <wp:extent cx="5266690" cy="2583815"/>
            <wp:effectExtent l="9525" t="9525" r="19685" b="16510"/>
            <wp:docPr id="33"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7"/>
                    <pic:cNvPicPr>
                      <a:picLocks noChangeAspect="1"/>
                    </pic:cNvPicPr>
                  </pic:nvPicPr>
                  <pic:blipFill>
                    <a:blip r:embed="rId34"/>
                    <a:stretch>
                      <a:fillRect/>
                    </a:stretch>
                  </pic:blipFill>
                  <pic:spPr>
                    <a:xfrm>
                      <a:off x="0" y="0"/>
                      <a:ext cx="5266690" cy="2583815"/>
                    </a:xfrm>
                    <a:prstGeom prst="rect">
                      <a:avLst/>
                    </a:prstGeom>
                    <a:noFill/>
                    <a:ln>
                      <a:solidFill>
                        <a:schemeClr val="bg1">
                          <a:lumMod val="85000"/>
                        </a:schemeClr>
                      </a:solidFill>
                    </a:ln>
                  </pic:spPr>
                </pic:pic>
              </a:graphicData>
            </a:graphic>
          </wp:inline>
        </w:drawing>
      </w:r>
    </w:p>
    <w:p w14:paraId="229A971A">
      <w:pPr>
        <w:pStyle w:val="2"/>
        <w:numPr>
          <w:ilvl w:val="0"/>
          <w:numId w:val="4"/>
        </w:numPr>
        <w:autoSpaceDE/>
        <w:autoSpaceDN/>
        <w:spacing w:line="360" w:lineRule="auto"/>
        <w:rPr>
          <w:rFonts w:hint="eastAsia" w:ascii="等线" w:hAnsi="等线" w:eastAsia="等线" w:cs="等线"/>
          <w:lang w:val="en-US"/>
        </w:rPr>
      </w:pPr>
      <w:bookmarkStart w:id="9" w:name="_Toc11798"/>
      <w:r>
        <w:rPr>
          <w:rFonts w:hint="eastAsia" w:ascii="等线" w:hAnsi="等线" w:eastAsia="等线" w:cs="等线"/>
          <w:lang w:val="en-US"/>
        </w:rPr>
        <w:t>移动端</w:t>
      </w:r>
      <w:bookmarkEnd w:id="9"/>
    </w:p>
    <w:p w14:paraId="1FA38262">
      <w:pPr>
        <w:autoSpaceDE/>
        <w:autoSpaceDN/>
        <w:ind w:firstLine="480" w:firstLineChars="200"/>
        <w:rPr>
          <w:rFonts w:hint="eastAsia" w:ascii="等线" w:hAnsi="等线" w:eastAsia="等线" w:cs="等线"/>
          <w:sz w:val="24"/>
          <w:szCs w:val="24"/>
          <w:lang w:val="en-US"/>
        </w:rPr>
      </w:pPr>
      <w:r>
        <w:rPr>
          <w:rFonts w:hint="eastAsia" w:ascii="等线" w:hAnsi="等线" w:eastAsia="等线" w:cs="等线"/>
          <w:sz w:val="24"/>
          <w:szCs w:val="24"/>
          <w:lang w:val="en-US"/>
        </w:rPr>
        <w:t>目前移动端主要提供数据查询、项目审核及消息提醒功能，包括查询本单位科研规划课题项目的申报情况、查询开题/中检/结题各阶段的资料提交情况、在线审核本单位的申报老师提交项目申报/开题/中检/结题/变更、审核结果消息提醒等；</w:t>
      </w:r>
    </w:p>
    <w:p w14:paraId="5ECDBD72">
      <w:pPr>
        <w:rPr>
          <w:rFonts w:hint="eastAsia" w:ascii="等线" w:hAnsi="等线" w:eastAsia="等线" w:cs="等线"/>
          <w:lang w:val="en-US"/>
        </w:rPr>
      </w:pPr>
      <w:r>
        <w:rPr>
          <w:rFonts w:hint="eastAsia" w:ascii="等线" w:hAnsi="等线" w:eastAsia="等线" w:cs="等线"/>
        </w:rPr>
        <w:drawing>
          <wp:inline distT="0" distB="0" distL="114300" distR="114300">
            <wp:extent cx="2513965" cy="5400040"/>
            <wp:effectExtent l="9525" t="9525" r="10160" b="19685"/>
            <wp:docPr id="34"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9"/>
                    <pic:cNvPicPr>
                      <a:picLocks noChangeAspect="1"/>
                    </pic:cNvPicPr>
                  </pic:nvPicPr>
                  <pic:blipFill>
                    <a:blip r:embed="rId35"/>
                    <a:stretch>
                      <a:fillRect/>
                    </a:stretch>
                  </pic:blipFill>
                  <pic:spPr>
                    <a:xfrm>
                      <a:off x="0" y="0"/>
                      <a:ext cx="2513965" cy="5400040"/>
                    </a:xfrm>
                    <a:prstGeom prst="rect">
                      <a:avLst/>
                    </a:prstGeom>
                    <a:noFill/>
                    <a:ln>
                      <a:solidFill>
                        <a:schemeClr val="bg1">
                          <a:lumMod val="85000"/>
                        </a:schemeClr>
                      </a:solidFill>
                    </a:ln>
                  </pic:spPr>
                </pic:pic>
              </a:graphicData>
            </a:graphic>
          </wp:inline>
        </w:drawing>
      </w:r>
      <w:r>
        <w:rPr>
          <w:rFonts w:hint="eastAsia" w:ascii="等线" w:hAnsi="等线" w:eastAsia="等线" w:cs="等线"/>
          <w:lang w:val="en-US"/>
        </w:rPr>
        <w:t xml:space="preserve">  </w:t>
      </w:r>
      <w:r>
        <w:rPr>
          <w:rFonts w:hint="eastAsia" w:ascii="等线" w:hAnsi="等线" w:eastAsia="等线" w:cs="等线"/>
        </w:rPr>
        <w:drawing>
          <wp:inline distT="0" distB="0" distL="114300" distR="114300">
            <wp:extent cx="2491740" cy="5400040"/>
            <wp:effectExtent l="9525" t="9525" r="13335" b="19685"/>
            <wp:docPr id="35"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10"/>
                    <pic:cNvPicPr>
                      <a:picLocks noChangeAspect="1"/>
                    </pic:cNvPicPr>
                  </pic:nvPicPr>
                  <pic:blipFill>
                    <a:blip r:embed="rId36"/>
                    <a:stretch>
                      <a:fillRect/>
                    </a:stretch>
                  </pic:blipFill>
                  <pic:spPr>
                    <a:xfrm>
                      <a:off x="0" y="0"/>
                      <a:ext cx="2491740" cy="5400040"/>
                    </a:xfrm>
                    <a:prstGeom prst="rect">
                      <a:avLst/>
                    </a:prstGeom>
                    <a:noFill/>
                    <a:ln>
                      <a:solidFill>
                        <a:schemeClr val="bg1">
                          <a:lumMod val="85000"/>
                        </a:schemeClr>
                      </a:solidFill>
                    </a:ln>
                  </pic:spPr>
                </pic:pic>
              </a:graphicData>
            </a:graphic>
          </wp:inline>
        </w:drawing>
      </w:r>
    </w:p>
    <w:p w14:paraId="2A0624EF">
      <w:pPr>
        <w:keepNext w:val="0"/>
        <w:keepLines w:val="0"/>
        <w:pageBreakBefore w:val="0"/>
        <w:widowControl w:val="0"/>
        <w:numPr>
          <w:ilvl w:val="0"/>
          <w:numId w:val="0"/>
        </w:numPr>
        <w:kinsoku/>
        <w:wordWrap/>
        <w:overflowPunct/>
        <w:topLinePunct w:val="0"/>
        <w:autoSpaceDE/>
        <w:autoSpaceDN/>
        <w:bidi w:val="0"/>
        <w:adjustRightInd/>
        <w:snapToGrid/>
        <w:spacing w:line="700" w:lineRule="exact"/>
        <w:ind w:firstLine="420" w:firstLineChars="200"/>
        <w:jc w:val="both"/>
        <w:textAlignment w:val="auto"/>
        <w:rPr>
          <w:rFonts w:hint="default" w:ascii="仿宋_GB2312" w:hAnsi="仿宋_GB2312" w:eastAsia="仿宋_GB2312" w:cs="仿宋_GB2312"/>
          <w:sz w:val="32"/>
          <w:szCs w:val="32"/>
          <w:lang w:val="en-US" w:eastAsia="zh-CN"/>
        </w:rPr>
      </w:pPr>
      <w:r>
        <w:rPr>
          <w:rFonts w:hint="eastAsia" w:ascii="等线" w:hAnsi="等线" w:eastAsia="等线" w:cs="等线"/>
        </w:rPr>
        <w:drawing>
          <wp:inline distT="0" distB="0" distL="114300" distR="114300">
            <wp:extent cx="2510790" cy="5400040"/>
            <wp:effectExtent l="9525" t="9525" r="13335" b="19685"/>
            <wp:docPr id="36"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11"/>
                    <pic:cNvPicPr>
                      <a:picLocks noChangeAspect="1"/>
                    </pic:cNvPicPr>
                  </pic:nvPicPr>
                  <pic:blipFill>
                    <a:blip r:embed="rId37"/>
                    <a:stretch>
                      <a:fillRect/>
                    </a:stretch>
                  </pic:blipFill>
                  <pic:spPr>
                    <a:xfrm>
                      <a:off x="0" y="0"/>
                      <a:ext cx="2510790" cy="5400040"/>
                    </a:xfrm>
                    <a:prstGeom prst="rect">
                      <a:avLst/>
                    </a:prstGeom>
                    <a:noFill/>
                    <a:ln>
                      <a:solidFill>
                        <a:schemeClr val="bg1">
                          <a:lumMod val="85000"/>
                        </a:schemeClr>
                      </a:solidFill>
                    </a:ln>
                  </pic:spPr>
                </pic:pic>
              </a:graphicData>
            </a:graphic>
          </wp:inline>
        </w:drawing>
      </w:r>
      <w:r>
        <w:rPr>
          <w:rFonts w:hint="eastAsia" w:ascii="等线" w:hAnsi="等线" w:eastAsia="等线" w:cs="等线"/>
          <w:lang w:val="en-US"/>
        </w:rPr>
        <w:t xml:space="preserve">  </w:t>
      </w:r>
      <w:r>
        <w:rPr>
          <w:rFonts w:hint="eastAsia" w:ascii="等线" w:hAnsi="等线" w:eastAsia="等线" w:cs="等线"/>
        </w:rPr>
        <w:drawing>
          <wp:inline distT="0" distB="0" distL="114300" distR="114300">
            <wp:extent cx="2497455" cy="5400040"/>
            <wp:effectExtent l="9525" t="9525" r="26670" b="19685"/>
            <wp:docPr id="37"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12"/>
                    <pic:cNvPicPr>
                      <a:picLocks noChangeAspect="1"/>
                    </pic:cNvPicPr>
                  </pic:nvPicPr>
                  <pic:blipFill>
                    <a:blip r:embed="rId38"/>
                    <a:stretch>
                      <a:fillRect/>
                    </a:stretch>
                  </pic:blipFill>
                  <pic:spPr>
                    <a:xfrm>
                      <a:off x="0" y="0"/>
                      <a:ext cx="2497455" cy="5400040"/>
                    </a:xfrm>
                    <a:prstGeom prst="rect">
                      <a:avLst/>
                    </a:prstGeom>
                    <a:noFill/>
                    <a:ln>
                      <a:solidFill>
                        <a:schemeClr val="bg1">
                          <a:lumMod val="85000"/>
                        </a:schemeClr>
                      </a:solidFill>
                    </a:ln>
                  </pic:spPr>
                </pic:pic>
              </a:graphicData>
            </a:graphic>
          </wp:inline>
        </w:drawing>
      </w:r>
    </w:p>
    <w:p w14:paraId="743C8BDE">
      <w:pPr>
        <w:keepNext w:val="0"/>
        <w:keepLines w:val="0"/>
        <w:pageBreakBefore w:val="0"/>
        <w:widowControl w:val="0"/>
        <w:numPr>
          <w:ilvl w:val="0"/>
          <w:numId w:val="0"/>
        </w:numPr>
        <w:kinsoku/>
        <w:wordWrap/>
        <w:overflowPunct/>
        <w:topLinePunct w:val="0"/>
        <w:autoSpaceDE/>
        <w:autoSpaceDN/>
        <w:bidi w:val="0"/>
        <w:adjustRightInd/>
        <w:snapToGrid/>
        <w:spacing w:line="700" w:lineRule="exact"/>
        <w:ind w:firstLine="640" w:firstLineChars="200"/>
        <w:jc w:val="both"/>
        <w:textAlignment w:val="auto"/>
        <w:rPr>
          <w:rFonts w:hint="default" w:ascii="仿宋_GB2312" w:hAnsi="仿宋_GB2312" w:eastAsia="仿宋_GB2312" w:cs="仿宋_GB2312"/>
          <w:sz w:val="32"/>
          <w:szCs w:val="32"/>
          <w:lang w:val="en-US" w:eastAsia="zh-CN"/>
        </w:rPr>
      </w:pPr>
    </w:p>
    <w:p w14:paraId="7E0454DE">
      <w:pPr>
        <w:keepNext w:val="0"/>
        <w:keepLines w:val="0"/>
        <w:pageBreakBefore w:val="0"/>
        <w:widowControl w:val="0"/>
        <w:numPr>
          <w:ilvl w:val="0"/>
          <w:numId w:val="0"/>
        </w:numPr>
        <w:kinsoku/>
        <w:wordWrap/>
        <w:overflowPunct/>
        <w:topLinePunct w:val="0"/>
        <w:autoSpaceDE/>
        <w:autoSpaceDN/>
        <w:bidi w:val="0"/>
        <w:adjustRightInd/>
        <w:snapToGrid/>
        <w:spacing w:line="700" w:lineRule="exact"/>
        <w:ind w:firstLine="640" w:firstLineChars="200"/>
        <w:jc w:val="both"/>
        <w:textAlignment w:val="auto"/>
        <w:rPr>
          <w:rFonts w:hint="default" w:ascii="仿宋_GB2312" w:hAnsi="仿宋_GB2312" w:eastAsia="仿宋_GB2312" w:cs="仿宋_GB2312"/>
          <w:sz w:val="32"/>
          <w:szCs w:val="32"/>
          <w:lang w:val="en-US" w:eastAsia="zh-CN"/>
        </w:rPr>
      </w:pPr>
    </w:p>
    <w:p w14:paraId="63E88C3F">
      <w:pPr>
        <w:keepNext w:val="0"/>
        <w:keepLines w:val="0"/>
        <w:pageBreakBefore w:val="0"/>
        <w:widowControl w:val="0"/>
        <w:numPr>
          <w:ilvl w:val="0"/>
          <w:numId w:val="0"/>
        </w:numPr>
        <w:kinsoku/>
        <w:wordWrap/>
        <w:overflowPunct/>
        <w:topLinePunct w:val="0"/>
        <w:autoSpaceDE/>
        <w:autoSpaceDN/>
        <w:bidi w:val="0"/>
        <w:adjustRightInd/>
        <w:snapToGrid/>
        <w:spacing w:line="700" w:lineRule="exact"/>
        <w:ind w:firstLine="640" w:firstLineChars="200"/>
        <w:jc w:val="both"/>
        <w:textAlignment w:val="auto"/>
        <w:rPr>
          <w:rFonts w:hint="default" w:ascii="仿宋_GB2312" w:hAnsi="仿宋_GB2312" w:eastAsia="仿宋_GB2312" w:cs="仿宋_GB2312"/>
          <w:sz w:val="32"/>
          <w:szCs w:val="32"/>
          <w:lang w:val="en-US" w:eastAsia="zh-CN"/>
        </w:rPr>
      </w:pPr>
    </w:p>
    <w:p w14:paraId="10DFCA45">
      <w:pPr>
        <w:keepNext w:val="0"/>
        <w:keepLines w:val="0"/>
        <w:pageBreakBefore w:val="0"/>
        <w:widowControl w:val="0"/>
        <w:numPr>
          <w:ilvl w:val="0"/>
          <w:numId w:val="0"/>
        </w:numPr>
        <w:kinsoku/>
        <w:wordWrap/>
        <w:overflowPunct/>
        <w:topLinePunct w:val="0"/>
        <w:autoSpaceDE/>
        <w:autoSpaceDN/>
        <w:bidi w:val="0"/>
        <w:adjustRightInd/>
        <w:snapToGrid/>
        <w:spacing w:line="700" w:lineRule="exact"/>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附件7：</w:t>
      </w:r>
    </w:p>
    <w:p w14:paraId="4E757D79">
      <w:pPr>
        <w:kinsoku w:val="0"/>
        <w:overflowPunct w:val="0"/>
        <w:spacing w:before="5" w:line="313" w:lineRule="exact"/>
        <w:ind w:right="72"/>
        <w:textAlignment w:val="baseline"/>
        <w:rPr>
          <w:rFonts w:hint="eastAsia" w:cs="宋体"/>
          <w:spacing w:val="6"/>
          <w:sz w:val="28"/>
          <w:szCs w:val="28"/>
        </w:rPr>
      </w:pPr>
    </w:p>
    <w:p w14:paraId="4CD08F2C">
      <w:pPr>
        <w:kinsoku w:val="0"/>
        <w:overflowPunct w:val="0"/>
        <w:spacing w:before="5" w:line="313" w:lineRule="exact"/>
        <w:ind w:right="72"/>
        <w:textAlignment w:val="baseline"/>
        <w:rPr>
          <w:rFonts w:hint="eastAsia" w:ascii="仿宋_GB2312" w:hAnsi="仿宋_GB2312" w:eastAsia="仿宋_GB2312" w:cs="仿宋_GB2312"/>
          <w:spacing w:val="6"/>
          <w:sz w:val="32"/>
          <w:szCs w:val="32"/>
        </w:rPr>
      </w:pPr>
      <w:r>
        <w:rPr>
          <w:rFonts w:hint="eastAsia" w:ascii="仿宋_GB2312" w:hAnsi="仿宋_GB2312" w:eastAsia="仿宋_GB2312" w:cs="仿宋_GB2312"/>
          <w:spacing w:val="6"/>
          <w:sz w:val="32"/>
          <w:szCs w:val="32"/>
        </w:rPr>
        <w:fldChar w:fldCharType="begin">
          <w:fldData xml:space="preserve">ZQBKAHoAdABYAGUAOQB2AEUAMgBVAGMAdgAyAHUANwA5AHYAbwBNAEEAegBhAFMAawBFAFoARAA2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</w:fldData>
        </w:fldChar>
      </w:r>
      <w:r>
        <w:rPr>
          <w:rFonts w:hint="eastAsia" w:ascii="仿宋_GB2312" w:hAnsi="仿宋_GB2312" w:eastAsia="仿宋_GB2312" w:cs="仿宋_GB2312"/>
          <w:spacing w:val="6"/>
          <w:sz w:val="32"/>
          <w:szCs w:val="32"/>
          <w:lang w:eastAsia="zh-CN"/>
        </w:rPr>
        <w:instrText xml:space="preserve">ADDIN CNKISM.UserStyle</w:instrText>
      </w:r>
      <w:r>
        <w:rPr>
          <w:rFonts w:hint="eastAsia" w:ascii="仿宋_GB2312" w:hAnsi="仿宋_GB2312" w:eastAsia="仿宋_GB2312" w:cs="仿宋_GB2312"/>
          <w:spacing w:val="6"/>
          <w:sz w:val="32"/>
          <w:szCs w:val="32"/>
        </w:rPr>
        <w:fldChar w:fldCharType="separate"/>
      </w:r>
      <w:r>
        <w:rPr>
          <w:rFonts w:hint="eastAsia" w:ascii="仿宋_GB2312" w:hAnsi="仿宋_GB2312" w:eastAsia="仿宋_GB2312" w:cs="仿宋_GB2312"/>
          <w:spacing w:val="6"/>
          <w:sz w:val="32"/>
          <w:szCs w:val="32"/>
        </w:rPr>
        <w:fldChar w:fldCharType="end"/>
      </w:r>
      <w:r>
        <w:rPr>
          <w:rFonts w:hint="eastAsia" w:ascii="仿宋_GB2312" w:hAnsi="仿宋_GB2312" w:eastAsia="仿宋_GB2312" w:cs="仿宋_GB2312"/>
          <w:spacing w:val="6"/>
          <w:sz w:val="32"/>
          <w:szCs w:val="32"/>
        </w:rPr>
        <w:t>项目名称：</w:t>
      </w:r>
    </w:p>
    <w:p w14:paraId="7A0F1C87">
      <w:pPr>
        <w:kinsoku w:val="0"/>
        <w:overflowPunct w:val="0"/>
        <w:spacing w:before="5" w:line="313" w:lineRule="exact"/>
        <w:ind w:right="72"/>
        <w:textAlignment w:val="baseline"/>
        <w:rPr>
          <w:rFonts w:hint="eastAsia" w:ascii="仿宋_GB2312" w:hAnsi="仿宋_GB2312" w:eastAsia="仿宋_GB2312" w:cs="仿宋_GB2312"/>
          <w:spacing w:val="6"/>
          <w:sz w:val="32"/>
          <w:szCs w:val="32"/>
        </w:rPr>
      </w:pPr>
      <w:r>
        <w:rPr>
          <w:rFonts w:hint="eastAsia" w:ascii="仿宋_GB2312" w:hAnsi="仿宋_GB2312" w:eastAsia="仿宋_GB2312" w:cs="仿宋_GB2312"/>
          <w:spacing w:val="6"/>
          <w:sz w:val="32"/>
          <w:szCs w:val="32"/>
        </w:rPr>
        <w:t>项目类别：</w:t>
      </w:r>
    </w:p>
    <w:p w14:paraId="3F83C499">
      <w:pPr>
        <w:kinsoku w:val="0"/>
        <w:overflowPunct w:val="0"/>
        <w:spacing w:before="5" w:line="313" w:lineRule="exact"/>
        <w:ind w:right="72"/>
        <w:textAlignment w:val="baseline"/>
        <w:rPr>
          <w:rFonts w:hint="eastAsia" w:ascii="仿宋_GB2312" w:hAnsi="仿宋_GB2312" w:eastAsia="仿宋_GB2312" w:cs="仿宋_GB2312"/>
          <w:spacing w:val="6"/>
          <w:sz w:val="32"/>
          <w:szCs w:val="32"/>
        </w:rPr>
      </w:pPr>
    </w:p>
    <w:p w14:paraId="5CADC1EC">
      <w:pPr>
        <w:kinsoku w:val="0"/>
        <w:overflowPunct w:val="0"/>
        <w:spacing w:before="120" w:after="156" w:afterLines="50" w:line="400" w:lineRule="exact"/>
        <w:ind w:right="74"/>
        <w:jc w:val="center"/>
        <w:textAlignment w:val="baseline"/>
        <w:rPr>
          <w:rFonts w:hint="eastAsia" w:ascii="仿宋_GB2312" w:hAnsi="仿宋_GB2312" w:eastAsia="仿宋_GB2312" w:cs="仿宋_GB2312"/>
          <w:b/>
          <w:bCs/>
          <w:spacing w:val="6"/>
          <w:sz w:val="32"/>
          <w:szCs w:val="32"/>
          <w:lang w:val="en-US" w:eastAsia="zh-CN"/>
        </w:rPr>
      </w:pPr>
      <w:r>
        <w:rPr>
          <w:rFonts w:hint="eastAsia" w:ascii="仿宋_GB2312" w:hAnsi="仿宋_GB2312" w:eastAsia="仿宋_GB2312" w:cs="仿宋_GB2312"/>
          <w:b/>
          <w:bCs/>
          <w:spacing w:val="6"/>
          <w:sz w:val="32"/>
          <w:szCs w:val="32"/>
          <w:lang w:val="en-US" w:eastAsia="zh-CN"/>
        </w:rPr>
        <w:t>湖南省职业教育与成人教育学会</w:t>
      </w:r>
      <w:r>
        <w:rPr>
          <w:rFonts w:hint="eastAsia" w:ascii="仿宋_GB2312" w:hAnsi="仿宋_GB2312" w:eastAsia="仿宋_GB2312" w:cs="仿宋_GB2312"/>
          <w:b/>
          <w:bCs/>
          <w:spacing w:val="6"/>
          <w:sz w:val="32"/>
          <w:szCs w:val="32"/>
        </w:rPr>
        <w:t>科研</w:t>
      </w:r>
      <w:r>
        <w:rPr>
          <w:rFonts w:hint="eastAsia" w:ascii="仿宋_GB2312" w:hAnsi="仿宋_GB2312" w:eastAsia="仿宋_GB2312" w:cs="仿宋_GB2312"/>
          <w:b/>
          <w:bCs/>
          <w:spacing w:val="6"/>
          <w:sz w:val="32"/>
          <w:szCs w:val="32"/>
          <w:lang w:val="en-US" w:eastAsia="zh-CN"/>
        </w:rPr>
        <w:t>规划课题（2026年）</w:t>
      </w:r>
    </w:p>
    <w:p w14:paraId="4ED80839">
      <w:pPr>
        <w:kinsoku w:val="0"/>
        <w:overflowPunct w:val="0"/>
        <w:spacing w:before="120" w:after="156" w:afterLines="50" w:line="400" w:lineRule="exact"/>
        <w:ind w:right="74"/>
        <w:jc w:val="center"/>
        <w:textAlignment w:val="baseline"/>
        <w:rPr>
          <w:rFonts w:hint="eastAsia" w:ascii="仿宋_GB2312" w:hAnsi="仿宋_GB2312" w:eastAsia="仿宋_GB2312" w:cs="仿宋_GB2312"/>
          <w:b/>
          <w:bCs/>
          <w:spacing w:val="6"/>
          <w:sz w:val="32"/>
          <w:szCs w:val="32"/>
        </w:rPr>
      </w:pPr>
      <w:r>
        <w:rPr>
          <w:rFonts w:hint="eastAsia" w:ascii="仿宋_GB2312" w:hAnsi="仿宋_GB2312" w:eastAsia="仿宋_GB2312" w:cs="仿宋_GB2312"/>
          <w:b/>
          <w:bCs/>
          <w:spacing w:val="6"/>
          <w:sz w:val="32"/>
          <w:szCs w:val="32"/>
        </w:rPr>
        <w:t>申请人公正性承诺书</w:t>
      </w:r>
    </w:p>
    <w:p w14:paraId="0DB238ED">
      <w:pPr>
        <w:kinsoku w:val="0"/>
        <w:overflowPunct w:val="0"/>
        <w:spacing w:before="5" w:line="320" w:lineRule="exact"/>
        <w:ind w:left="76" w:leftChars="36" w:right="34" w:firstLine="575" w:firstLineChars="197"/>
        <w:textAlignment w:val="baseline"/>
        <w:rPr>
          <w:rFonts w:hint="eastAsia" w:ascii="仿宋_GB2312" w:hAnsi="仿宋_GB2312" w:eastAsia="仿宋_GB2312" w:cs="仿宋_GB2312"/>
          <w:spacing w:val="6"/>
          <w:sz w:val="28"/>
          <w:szCs w:val="28"/>
        </w:rPr>
      </w:pPr>
      <w:r>
        <w:rPr>
          <w:rFonts w:hint="eastAsia" w:ascii="仿宋_GB2312" w:hAnsi="仿宋_GB2312" w:eastAsia="仿宋_GB2312" w:cs="仿宋_GB2312"/>
          <w:spacing w:val="6"/>
          <w:sz w:val="28"/>
          <w:szCs w:val="28"/>
        </w:rPr>
        <w:t>本人</w:t>
      </w:r>
      <w:r>
        <w:rPr>
          <w:rFonts w:hint="eastAsia" w:ascii="仿宋_GB2312" w:hAnsi="仿宋_GB2312" w:eastAsia="仿宋_GB2312" w:cs="仿宋_GB2312"/>
          <w:b/>
          <w:bCs/>
          <w:spacing w:val="6"/>
          <w:sz w:val="28"/>
          <w:szCs w:val="28"/>
        </w:rPr>
        <w:t>在此郑重承诺</w:t>
      </w:r>
      <w:r>
        <w:rPr>
          <w:rFonts w:hint="eastAsia" w:ascii="仿宋_GB2312" w:hAnsi="仿宋_GB2312" w:eastAsia="仿宋_GB2312" w:cs="仿宋_GB2312"/>
          <w:spacing w:val="6"/>
          <w:sz w:val="28"/>
          <w:szCs w:val="28"/>
        </w:rPr>
        <w:t>：严格遵守《中华人民共和国著作权法》、《中华人民共和国专利法》、《中华人民共和国国家通用语言文字法》等有关知识产权保护方面的法律、法规，《</w:t>
      </w:r>
      <w:r>
        <w:rPr>
          <w:rFonts w:hint="eastAsia" w:ascii="仿宋_GB2312" w:hAnsi="仿宋_GB2312" w:eastAsia="仿宋_GB2312" w:cs="仿宋_GB2312"/>
          <w:spacing w:val="6"/>
          <w:sz w:val="28"/>
          <w:szCs w:val="28"/>
          <w:lang w:val="en-US" w:eastAsia="zh-CN"/>
        </w:rPr>
        <w:t>湖南省职业教育与成人教育学会科研规划课题管理办法</w:t>
      </w:r>
      <w:r>
        <w:rPr>
          <w:rFonts w:hint="eastAsia" w:ascii="仿宋_GB2312" w:hAnsi="仿宋_GB2312" w:eastAsia="仿宋_GB2312" w:cs="仿宋_GB2312"/>
          <w:spacing w:val="6"/>
          <w:sz w:val="28"/>
          <w:szCs w:val="28"/>
        </w:rPr>
        <w:t>》（</w:t>
      </w:r>
      <w:r>
        <w:rPr>
          <w:rFonts w:hint="eastAsia" w:ascii="仿宋_GB2312" w:hAnsi="仿宋_GB2312" w:eastAsia="仿宋_GB2312" w:cs="仿宋_GB2312"/>
          <w:spacing w:val="6"/>
          <w:sz w:val="28"/>
          <w:szCs w:val="28"/>
          <w:lang w:val="en-US" w:eastAsia="zh-CN"/>
        </w:rPr>
        <w:t>湘职成学会</w:t>
      </w:r>
      <w:r>
        <w:rPr>
          <w:rFonts w:hint="eastAsia" w:ascii="仿宋_GB2312" w:hAnsi="仿宋_GB2312" w:eastAsia="仿宋_GB2312" w:cs="仿宋_GB2312"/>
          <w:spacing w:val="6"/>
          <w:sz w:val="28"/>
          <w:szCs w:val="28"/>
        </w:rPr>
        <w:t>〔20</w:t>
      </w:r>
      <w:r>
        <w:rPr>
          <w:rFonts w:hint="eastAsia" w:ascii="仿宋_GB2312" w:hAnsi="仿宋_GB2312" w:eastAsia="仿宋_GB2312" w:cs="仿宋_GB2312"/>
          <w:spacing w:val="6"/>
          <w:sz w:val="28"/>
          <w:szCs w:val="28"/>
          <w:lang w:val="en-US" w:eastAsia="zh-CN"/>
        </w:rPr>
        <w:t>25</w:t>
      </w:r>
      <w:r>
        <w:rPr>
          <w:rFonts w:hint="eastAsia" w:ascii="仿宋_GB2312" w:hAnsi="仿宋_GB2312" w:eastAsia="仿宋_GB2312" w:cs="仿宋_GB2312"/>
          <w:spacing w:val="6"/>
          <w:sz w:val="28"/>
          <w:szCs w:val="28"/>
        </w:rPr>
        <w:t>〕</w:t>
      </w:r>
      <w:r>
        <w:rPr>
          <w:rFonts w:hint="eastAsia" w:ascii="仿宋_GB2312" w:hAnsi="仿宋_GB2312" w:eastAsia="仿宋_GB2312" w:cs="仿宋_GB2312"/>
          <w:spacing w:val="6"/>
          <w:sz w:val="28"/>
          <w:szCs w:val="28"/>
          <w:lang w:val="en-US" w:eastAsia="zh-CN"/>
        </w:rPr>
        <w:t>11</w:t>
      </w:r>
      <w:r>
        <w:rPr>
          <w:rFonts w:hint="eastAsia" w:ascii="仿宋_GB2312" w:hAnsi="仿宋_GB2312" w:eastAsia="仿宋_GB2312" w:cs="仿宋_GB2312"/>
          <w:spacing w:val="6"/>
          <w:sz w:val="28"/>
          <w:szCs w:val="28"/>
        </w:rPr>
        <w:t>号）等相关规定，所申报材料和相关内容真实有效，不存在违背科研诚信要求的行为；在项目申请、评审和执行全过程中，恪守职业规范和科学道德，遵守评审规则和工作纪律，杜绝以下行为：</w:t>
      </w:r>
    </w:p>
    <w:p w14:paraId="4F6FD3A5">
      <w:pPr>
        <w:kinsoku w:val="0"/>
        <w:overflowPunct w:val="0"/>
        <w:spacing w:before="5" w:line="320" w:lineRule="exact"/>
        <w:ind w:left="76" w:leftChars="36" w:right="34" w:firstLine="575" w:firstLineChars="197"/>
        <w:textAlignment w:val="baseline"/>
        <w:rPr>
          <w:rFonts w:hint="eastAsia" w:ascii="仿宋_GB2312" w:hAnsi="仿宋_GB2312" w:eastAsia="仿宋_GB2312" w:cs="仿宋_GB2312"/>
          <w:spacing w:val="6"/>
          <w:sz w:val="28"/>
          <w:szCs w:val="28"/>
        </w:rPr>
      </w:pPr>
      <w:r>
        <w:rPr>
          <w:rFonts w:hint="eastAsia" w:ascii="仿宋_GB2312" w:hAnsi="仿宋_GB2312" w:eastAsia="仿宋_GB2312" w:cs="仿宋_GB2312"/>
          <w:spacing w:val="6"/>
          <w:sz w:val="28"/>
          <w:szCs w:val="28"/>
        </w:rPr>
        <w:t>（一）抄袭、剽窃他人科研成果或者伪造、篡改研究数据、研究结论；</w:t>
      </w:r>
    </w:p>
    <w:p w14:paraId="5889F391">
      <w:pPr>
        <w:kinsoku w:val="0"/>
        <w:overflowPunct w:val="0"/>
        <w:spacing w:before="57" w:line="320" w:lineRule="exact"/>
        <w:ind w:right="34" w:firstLine="584" w:firstLineChars="200"/>
        <w:textAlignment w:val="baseline"/>
        <w:rPr>
          <w:rFonts w:hint="eastAsia" w:ascii="仿宋_GB2312" w:hAnsi="仿宋_GB2312" w:eastAsia="仿宋_GB2312" w:cs="仿宋_GB2312"/>
          <w:spacing w:val="6"/>
          <w:sz w:val="28"/>
          <w:szCs w:val="28"/>
        </w:rPr>
      </w:pPr>
      <w:r>
        <w:rPr>
          <w:rFonts w:hint="eastAsia" w:ascii="仿宋_GB2312" w:hAnsi="仿宋_GB2312" w:eastAsia="仿宋_GB2312" w:cs="仿宋_GB2312"/>
          <w:spacing w:val="6"/>
          <w:sz w:val="28"/>
          <w:szCs w:val="28"/>
        </w:rPr>
        <w:t>（二）购买、代写、代投论文，虚构同行评议专家及评议意见；</w:t>
      </w:r>
    </w:p>
    <w:p w14:paraId="7CDFBE29">
      <w:pPr>
        <w:kinsoku w:val="0"/>
        <w:overflowPunct w:val="0"/>
        <w:spacing w:before="57" w:line="320" w:lineRule="exact"/>
        <w:ind w:right="34" w:firstLine="584" w:firstLineChars="200"/>
        <w:textAlignment w:val="baseline"/>
        <w:rPr>
          <w:rFonts w:hint="eastAsia" w:ascii="仿宋_GB2312" w:hAnsi="仿宋_GB2312" w:eastAsia="仿宋_GB2312" w:cs="仿宋_GB2312"/>
          <w:spacing w:val="6"/>
          <w:sz w:val="28"/>
          <w:szCs w:val="28"/>
        </w:rPr>
      </w:pPr>
      <w:r>
        <w:rPr>
          <w:rFonts w:hint="eastAsia" w:ascii="仿宋_GB2312" w:hAnsi="仿宋_GB2312" w:eastAsia="仿宋_GB2312" w:cs="仿宋_GB2312"/>
          <w:spacing w:val="6"/>
          <w:sz w:val="28"/>
          <w:szCs w:val="28"/>
        </w:rPr>
        <w:t>（三）违反论文署名规范，擅自标注或虚假标注获得项目等资助；</w:t>
      </w:r>
    </w:p>
    <w:p w14:paraId="09973B15">
      <w:pPr>
        <w:kinsoku w:val="0"/>
        <w:overflowPunct w:val="0"/>
        <w:spacing w:before="57" w:line="320" w:lineRule="exact"/>
        <w:ind w:right="34" w:firstLine="584" w:firstLineChars="200"/>
        <w:textAlignment w:val="baseline"/>
        <w:rPr>
          <w:rFonts w:hint="eastAsia" w:ascii="仿宋_GB2312" w:hAnsi="仿宋_GB2312" w:eastAsia="仿宋_GB2312" w:cs="仿宋_GB2312"/>
          <w:spacing w:val="6"/>
          <w:sz w:val="28"/>
          <w:szCs w:val="28"/>
        </w:rPr>
      </w:pPr>
      <w:r>
        <w:rPr>
          <w:rFonts w:hint="eastAsia" w:ascii="仿宋_GB2312" w:hAnsi="仿宋_GB2312" w:eastAsia="仿宋_GB2312" w:cs="仿宋_GB2312"/>
          <w:spacing w:val="6"/>
          <w:sz w:val="28"/>
          <w:szCs w:val="28"/>
        </w:rPr>
        <w:t>（四）购买、代写申请书；弄虚作假，骗取科研专项、基金、科技计划等项目、经费、奖励、荣誉、职务职称等；</w:t>
      </w:r>
    </w:p>
    <w:p w14:paraId="5F25800D">
      <w:pPr>
        <w:kinsoku w:val="0"/>
        <w:overflowPunct w:val="0"/>
        <w:spacing w:before="57" w:line="320" w:lineRule="exact"/>
        <w:ind w:right="34" w:firstLine="584" w:firstLineChars="200"/>
        <w:textAlignment w:val="baseline"/>
        <w:rPr>
          <w:rFonts w:hint="eastAsia" w:ascii="仿宋_GB2312" w:hAnsi="仿宋_GB2312" w:eastAsia="仿宋_GB2312" w:cs="仿宋_GB2312"/>
          <w:spacing w:val="6"/>
          <w:sz w:val="28"/>
          <w:szCs w:val="28"/>
        </w:rPr>
      </w:pPr>
      <w:r>
        <w:rPr>
          <w:rFonts w:hint="eastAsia" w:ascii="仿宋_GB2312" w:hAnsi="仿宋_GB2312" w:eastAsia="仿宋_GB2312" w:cs="仿宋_GB2312"/>
          <w:spacing w:val="6"/>
          <w:sz w:val="28"/>
          <w:szCs w:val="28"/>
        </w:rPr>
        <w:t>（五）成果发表、出版时一稿多投;</w:t>
      </w:r>
    </w:p>
    <w:p w14:paraId="5EB839A2">
      <w:pPr>
        <w:kinsoku w:val="0"/>
        <w:overflowPunct w:val="0"/>
        <w:spacing w:before="57" w:line="320" w:lineRule="exact"/>
        <w:ind w:right="34" w:firstLine="584" w:firstLineChars="200"/>
        <w:textAlignment w:val="baseline"/>
        <w:rPr>
          <w:rFonts w:hint="eastAsia" w:ascii="仿宋_GB2312" w:hAnsi="仿宋_GB2312" w:eastAsia="仿宋_GB2312" w:cs="仿宋_GB2312"/>
          <w:spacing w:val="6"/>
          <w:sz w:val="28"/>
          <w:szCs w:val="28"/>
        </w:rPr>
      </w:pPr>
      <w:r>
        <w:rPr>
          <w:rFonts w:hint="eastAsia" w:ascii="仿宋_GB2312" w:hAnsi="仿宋_GB2312" w:eastAsia="仿宋_GB2312" w:cs="仿宋_GB2312"/>
          <w:spacing w:val="6"/>
          <w:sz w:val="28"/>
          <w:szCs w:val="28"/>
        </w:rPr>
        <w:t>（六）以相同、相近内容、相似视角重复申报各级各类项目，刻意回避与在研或已结项各级各类项目的关联性；</w:t>
      </w:r>
    </w:p>
    <w:p w14:paraId="22DE0007">
      <w:pPr>
        <w:kinsoku w:val="0"/>
        <w:overflowPunct w:val="0"/>
        <w:spacing w:before="57" w:line="320" w:lineRule="exact"/>
        <w:ind w:right="34" w:firstLine="584" w:firstLineChars="200"/>
        <w:textAlignment w:val="baseline"/>
        <w:rPr>
          <w:rFonts w:hint="eastAsia" w:ascii="仿宋_GB2312" w:hAnsi="仿宋_GB2312" w:eastAsia="仿宋_GB2312" w:cs="仿宋_GB2312"/>
          <w:spacing w:val="6"/>
          <w:sz w:val="28"/>
          <w:szCs w:val="28"/>
        </w:rPr>
      </w:pPr>
      <w:r>
        <w:rPr>
          <w:rFonts w:hint="eastAsia" w:ascii="仿宋_GB2312" w:hAnsi="仿宋_GB2312" w:eastAsia="仿宋_GB2312" w:cs="仿宋_GB2312"/>
          <w:spacing w:val="6"/>
          <w:sz w:val="28"/>
          <w:szCs w:val="28"/>
        </w:rPr>
        <w:t>（七）在项目申请书中以高指标通过评审，在项目结项书中故意篡改降低相应指标；</w:t>
      </w:r>
    </w:p>
    <w:p w14:paraId="025EC025">
      <w:pPr>
        <w:kinsoku w:val="0"/>
        <w:overflowPunct w:val="0"/>
        <w:spacing w:before="57" w:line="320" w:lineRule="exact"/>
        <w:ind w:right="34" w:firstLine="584" w:firstLineChars="200"/>
        <w:textAlignment w:val="baseline"/>
        <w:rPr>
          <w:rFonts w:hint="eastAsia" w:ascii="仿宋_GB2312" w:hAnsi="仿宋_GB2312" w:eastAsia="仿宋_GB2312" w:cs="仿宋_GB2312"/>
          <w:spacing w:val="6"/>
          <w:sz w:val="28"/>
          <w:szCs w:val="28"/>
        </w:rPr>
      </w:pPr>
      <w:r>
        <w:rPr>
          <w:rFonts w:hint="eastAsia" w:ascii="仿宋_GB2312" w:hAnsi="仿宋_GB2312" w:eastAsia="仿宋_GB2312" w:cs="仿宋_GB2312"/>
          <w:spacing w:val="6"/>
          <w:sz w:val="28"/>
          <w:szCs w:val="28"/>
        </w:rPr>
        <w:t>（八）以任何形式探听尚未公布的评审专家名单及其他评审过程中的保密信息；</w:t>
      </w:r>
    </w:p>
    <w:p w14:paraId="51E80A6B">
      <w:pPr>
        <w:kinsoku w:val="0"/>
        <w:overflowPunct w:val="0"/>
        <w:spacing w:before="57" w:line="320" w:lineRule="exact"/>
        <w:ind w:right="34" w:firstLine="584" w:firstLineChars="200"/>
        <w:textAlignment w:val="baseline"/>
        <w:rPr>
          <w:rFonts w:hint="eastAsia" w:ascii="仿宋_GB2312" w:hAnsi="仿宋_GB2312" w:eastAsia="仿宋_GB2312" w:cs="仿宋_GB2312"/>
          <w:spacing w:val="6"/>
          <w:sz w:val="28"/>
          <w:szCs w:val="28"/>
        </w:rPr>
      </w:pPr>
      <w:r>
        <w:rPr>
          <w:rFonts w:hint="eastAsia" w:ascii="仿宋_GB2312" w:hAnsi="仿宋_GB2312" w:eastAsia="仿宋_GB2312" w:cs="仿宋_GB2312"/>
          <w:spacing w:val="6"/>
          <w:sz w:val="28"/>
          <w:szCs w:val="28"/>
        </w:rPr>
        <w:t>（九）本人或委托他人通过各种方式及各种途径联系有关专家进行请托、游说，违规到评审会议驻地游说评审专家和工作人员、询问评审或尚未正式向社会公布的信息等干扰评审或可能影响评审公正性的活动；</w:t>
      </w:r>
    </w:p>
    <w:p w14:paraId="4D4CE70E">
      <w:pPr>
        <w:kinsoku w:val="0"/>
        <w:overflowPunct w:val="0"/>
        <w:spacing w:before="57" w:line="320" w:lineRule="exact"/>
        <w:ind w:right="34" w:firstLine="584" w:firstLineChars="200"/>
        <w:textAlignment w:val="baseline"/>
        <w:rPr>
          <w:rFonts w:hint="eastAsia" w:ascii="仿宋_GB2312" w:hAnsi="仿宋_GB2312" w:eastAsia="仿宋_GB2312" w:cs="仿宋_GB2312"/>
          <w:spacing w:val="6"/>
          <w:sz w:val="28"/>
          <w:szCs w:val="28"/>
        </w:rPr>
      </w:pPr>
      <w:r>
        <w:rPr>
          <w:rFonts w:hint="eastAsia" w:ascii="仿宋_GB2312" w:hAnsi="仿宋_GB2312" w:eastAsia="仿宋_GB2312" w:cs="仿宋_GB2312"/>
          <w:spacing w:val="6"/>
          <w:sz w:val="28"/>
          <w:szCs w:val="28"/>
        </w:rPr>
        <w:t>（十）向评审工作人员、评审专家等提供任何形式的礼品、礼金、有价证券、支付凭证、商业预付卡、电子红包，或提供宴请、旅游、娱乐健身等任何可能影响评审公正性的活动；</w:t>
      </w:r>
    </w:p>
    <w:p w14:paraId="64C631FF">
      <w:pPr>
        <w:kinsoku w:val="0"/>
        <w:overflowPunct w:val="0"/>
        <w:spacing w:before="57" w:line="320" w:lineRule="exact"/>
        <w:ind w:right="34" w:firstLine="584" w:firstLineChars="200"/>
        <w:textAlignment w:val="baseline"/>
        <w:rPr>
          <w:rFonts w:hint="eastAsia" w:ascii="仿宋_GB2312" w:hAnsi="仿宋_GB2312" w:eastAsia="仿宋_GB2312" w:cs="仿宋_GB2312"/>
          <w:spacing w:val="6"/>
          <w:sz w:val="28"/>
          <w:szCs w:val="28"/>
        </w:rPr>
      </w:pPr>
      <w:r>
        <w:rPr>
          <w:rFonts w:hint="eastAsia" w:ascii="仿宋_GB2312" w:hAnsi="仿宋_GB2312" w:eastAsia="仿宋_GB2312" w:cs="仿宋_GB2312"/>
          <w:spacing w:val="6"/>
          <w:sz w:val="28"/>
          <w:szCs w:val="28"/>
        </w:rPr>
        <w:t>（十一）不当或滥用署名：未参加科学研究或者论著写作，而在别人发表的作品等成果中署名等行为；在科研成果的署名位次上高于自己的实际贡献的行为；未经被署名人允许的随意代签、冒签；损害他人著作权，侵犯他人的署名权，将做出创造性贡献的人排除在作者名单之外；</w:t>
      </w:r>
    </w:p>
    <w:p w14:paraId="3F7CDBA9">
      <w:pPr>
        <w:kinsoku w:val="0"/>
        <w:overflowPunct w:val="0"/>
        <w:spacing w:before="57" w:line="320" w:lineRule="exact"/>
        <w:ind w:right="34" w:firstLine="584" w:firstLineChars="200"/>
        <w:textAlignment w:val="baseline"/>
        <w:rPr>
          <w:rFonts w:hint="eastAsia" w:ascii="仿宋_GB2312" w:hAnsi="仿宋_GB2312" w:eastAsia="仿宋_GB2312" w:cs="仿宋_GB2312"/>
          <w:spacing w:val="6"/>
          <w:sz w:val="28"/>
          <w:szCs w:val="28"/>
        </w:rPr>
      </w:pPr>
      <w:r>
        <w:rPr>
          <w:rFonts w:hint="eastAsia" w:ascii="仿宋_GB2312" w:hAnsi="仿宋_GB2312" w:eastAsia="仿宋_GB2312" w:cs="仿宋_GB2312"/>
          <w:spacing w:val="6"/>
          <w:sz w:val="28"/>
          <w:szCs w:val="28"/>
        </w:rPr>
        <w:t>（十二）其他违反财经纪律和相关管理规定的行为。</w:t>
      </w:r>
    </w:p>
    <w:p w14:paraId="5F967159">
      <w:pPr>
        <w:kinsoku w:val="0"/>
        <w:overflowPunct w:val="0"/>
        <w:spacing w:before="52" w:line="320" w:lineRule="exact"/>
        <w:ind w:right="34" w:firstLine="584" w:firstLineChars="200"/>
        <w:textAlignment w:val="baseline"/>
        <w:rPr>
          <w:rFonts w:hint="eastAsia" w:ascii="仿宋_GB2312" w:hAnsi="仿宋_GB2312" w:eastAsia="仿宋_GB2312" w:cs="仿宋_GB2312"/>
          <w:spacing w:val="6"/>
          <w:sz w:val="28"/>
          <w:szCs w:val="28"/>
        </w:rPr>
      </w:pPr>
      <w:r>
        <w:rPr>
          <w:rFonts w:hint="eastAsia" w:ascii="仿宋_GB2312" w:hAnsi="仿宋_GB2312" w:eastAsia="仿宋_GB2312" w:cs="仿宋_GB2312"/>
          <w:spacing w:val="6"/>
          <w:sz w:val="28"/>
          <w:szCs w:val="28"/>
        </w:rPr>
        <w:t>如违背上述承诺，本人愿接受相关部门和</w:t>
      </w:r>
      <w:r>
        <w:rPr>
          <w:rFonts w:hint="eastAsia" w:ascii="仿宋_GB2312" w:hAnsi="仿宋_GB2312" w:eastAsia="仿宋_GB2312" w:cs="仿宋_GB2312"/>
          <w:spacing w:val="6"/>
          <w:sz w:val="28"/>
          <w:szCs w:val="28"/>
          <w:lang w:val="en-US" w:eastAsia="zh-CN"/>
        </w:rPr>
        <w:t>学会</w:t>
      </w:r>
      <w:r>
        <w:rPr>
          <w:rFonts w:hint="eastAsia" w:ascii="仿宋_GB2312" w:hAnsi="仿宋_GB2312" w:eastAsia="仿宋_GB2312" w:cs="仿宋_GB2312"/>
          <w:spacing w:val="6"/>
          <w:sz w:val="28"/>
          <w:szCs w:val="28"/>
        </w:rPr>
        <w:t>做出的各项处理决定，包括但不限于撤销项目，追回项目资助经费，向社会通报违规情况，取消一定期限各级各类项目申请资格，记入科研诚信严重失信行为数据库以及接受相应的党纪政纪处理等。</w:t>
      </w:r>
    </w:p>
    <w:p w14:paraId="1B0D167F">
      <w:pPr>
        <w:kinsoku w:val="0"/>
        <w:overflowPunct w:val="0"/>
        <w:spacing w:before="52" w:line="300" w:lineRule="exact"/>
        <w:ind w:right="32" w:firstLine="562" w:firstLineChars="200"/>
        <w:textAlignment w:val="baseline"/>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注：此表所列参与者与申报书中的项目主要参与者一致。</w:t>
      </w:r>
    </w:p>
    <w:p w14:paraId="3B1A70A9">
      <w:pPr>
        <w:kinsoku w:val="0"/>
        <w:overflowPunct w:val="0"/>
        <w:spacing w:after="30" w:line="262" w:lineRule="exact"/>
        <w:ind w:left="144" w:right="72"/>
        <w:textAlignment w:val="baseline"/>
        <w:rPr>
          <w:rFonts w:hint="eastAsia" w:ascii="仿宋_GB2312" w:hAnsi="仿宋_GB2312" w:eastAsia="仿宋_GB2312" w:cs="仿宋_GB2312"/>
          <w:sz w:val="22"/>
          <w:szCs w:val="28"/>
        </w:rPr>
      </w:pPr>
    </w:p>
    <w:tbl>
      <w:tblPr>
        <w:tblStyle w:val="11"/>
        <w:tblW w:w="8842" w:type="dxa"/>
        <w:jc w:val="center"/>
        <w:tblLayout w:type="fixed"/>
        <w:tblCellMar>
          <w:top w:w="0" w:type="dxa"/>
          <w:left w:w="0" w:type="dxa"/>
          <w:bottom w:w="0" w:type="dxa"/>
          <w:right w:w="0" w:type="dxa"/>
        </w:tblCellMar>
      </w:tblPr>
      <w:tblGrid>
        <w:gridCol w:w="662"/>
        <w:gridCol w:w="1147"/>
        <w:gridCol w:w="2977"/>
        <w:gridCol w:w="2126"/>
        <w:gridCol w:w="1930"/>
      </w:tblGrid>
      <w:tr w14:paraId="504CA76F">
        <w:trPr>
          <w:trHeight w:val="1039" w:hRule="exact"/>
          <w:jc w:val="center"/>
        </w:trPr>
        <w:tc>
          <w:tcPr>
            <w:tcW w:w="662" w:type="dxa"/>
            <w:tcBorders>
              <w:top w:val="single" w:color="auto" w:sz="4" w:space="0"/>
              <w:left w:val="single" w:color="auto" w:sz="4" w:space="0"/>
              <w:bottom w:val="single" w:color="auto" w:sz="4" w:space="0"/>
              <w:right w:val="single" w:color="auto" w:sz="4" w:space="0"/>
            </w:tcBorders>
            <w:vAlign w:val="center"/>
          </w:tcPr>
          <w:p w14:paraId="3FB5F2C8">
            <w:pPr>
              <w:kinsoku w:val="0"/>
              <w:overflowPunct w:val="0"/>
              <w:spacing w:before="49" w:after="5" w:line="233" w:lineRule="exact"/>
              <w:jc w:val="center"/>
              <w:textAlignment w:val="baseline"/>
              <w:rPr>
                <w:rFonts w:hint="eastAsia" w:ascii="仿宋_GB2312" w:hAnsi="仿宋_GB2312" w:eastAsia="仿宋_GB2312" w:cs="仿宋_GB2312"/>
                <w:sz w:val="22"/>
                <w:szCs w:val="28"/>
              </w:rPr>
            </w:pPr>
            <w:r>
              <w:rPr>
                <w:rFonts w:hint="eastAsia" w:ascii="仿宋_GB2312" w:hAnsi="仿宋_GB2312" w:eastAsia="仿宋_GB2312" w:cs="仿宋_GB2312"/>
                <w:sz w:val="22"/>
                <w:szCs w:val="28"/>
              </w:rPr>
              <w:t>序号</w:t>
            </w:r>
          </w:p>
        </w:tc>
        <w:tc>
          <w:tcPr>
            <w:tcW w:w="1147" w:type="dxa"/>
            <w:tcBorders>
              <w:top w:val="single" w:color="auto" w:sz="4" w:space="0"/>
              <w:left w:val="single" w:color="auto" w:sz="4" w:space="0"/>
              <w:bottom w:val="single" w:color="auto" w:sz="4" w:space="0"/>
              <w:right w:val="single" w:color="auto" w:sz="4" w:space="0"/>
            </w:tcBorders>
            <w:vAlign w:val="center"/>
          </w:tcPr>
          <w:p w14:paraId="106641FE">
            <w:pPr>
              <w:kinsoku w:val="0"/>
              <w:overflowPunct w:val="0"/>
              <w:spacing w:before="123" w:after="127" w:line="268" w:lineRule="exact"/>
              <w:ind w:left="96"/>
              <w:jc w:val="center"/>
              <w:textAlignment w:val="baseline"/>
              <w:rPr>
                <w:rFonts w:hint="eastAsia" w:ascii="仿宋_GB2312" w:hAnsi="仿宋_GB2312" w:eastAsia="仿宋_GB2312" w:cs="仿宋_GB2312"/>
                <w:sz w:val="22"/>
                <w:szCs w:val="20"/>
                <w:lang w:eastAsia="en-US"/>
              </w:rPr>
            </w:pPr>
            <w:r>
              <w:rPr>
                <w:rFonts w:hint="eastAsia" w:ascii="仿宋_GB2312" w:hAnsi="仿宋_GB2312" w:eastAsia="仿宋_GB2312" w:cs="仿宋_GB2312"/>
                <w:sz w:val="22"/>
                <w:szCs w:val="28"/>
              </w:rPr>
              <w:t>姓名</w:t>
            </w:r>
          </w:p>
        </w:tc>
        <w:tc>
          <w:tcPr>
            <w:tcW w:w="2977" w:type="dxa"/>
            <w:tcBorders>
              <w:top w:val="single" w:color="auto" w:sz="4" w:space="0"/>
              <w:left w:val="single" w:color="auto" w:sz="4" w:space="0"/>
              <w:bottom w:val="single" w:color="auto" w:sz="4" w:space="0"/>
              <w:right w:val="single" w:color="auto" w:sz="4" w:space="0"/>
            </w:tcBorders>
            <w:vAlign w:val="center"/>
          </w:tcPr>
          <w:p w14:paraId="55CD6E5A">
            <w:pPr>
              <w:kinsoku w:val="0"/>
              <w:overflowPunct w:val="0"/>
              <w:spacing w:before="123" w:after="127" w:line="268" w:lineRule="exact"/>
              <w:ind w:left="96"/>
              <w:jc w:val="center"/>
              <w:textAlignment w:val="baseline"/>
              <w:rPr>
                <w:rFonts w:hint="default" w:ascii="仿宋_GB2312" w:hAnsi="仿宋_GB2312" w:eastAsia="仿宋_GB2312" w:cs="仿宋_GB2312"/>
                <w:sz w:val="22"/>
                <w:szCs w:val="20"/>
                <w:lang w:val="en-US" w:eastAsia="zh-CN"/>
              </w:rPr>
            </w:pPr>
            <w:r>
              <w:rPr>
                <w:rFonts w:hint="eastAsia" w:ascii="仿宋_GB2312" w:hAnsi="仿宋_GB2312" w:eastAsia="仿宋_GB2312" w:cs="仿宋_GB2312"/>
                <w:sz w:val="22"/>
                <w:szCs w:val="20"/>
                <w:lang w:val="en-US" w:eastAsia="zh-CN"/>
              </w:rPr>
              <w:t>单位名称</w:t>
            </w:r>
          </w:p>
        </w:tc>
        <w:tc>
          <w:tcPr>
            <w:tcW w:w="2126" w:type="dxa"/>
            <w:tcBorders>
              <w:top w:val="single" w:color="auto" w:sz="4" w:space="0"/>
              <w:left w:val="single" w:color="auto" w:sz="4" w:space="0"/>
              <w:bottom w:val="single" w:color="auto" w:sz="4" w:space="0"/>
              <w:right w:val="single" w:color="auto" w:sz="4" w:space="0"/>
            </w:tcBorders>
            <w:vAlign w:val="center"/>
          </w:tcPr>
          <w:p w14:paraId="12E8A6B4">
            <w:pPr>
              <w:kinsoku w:val="0"/>
              <w:overflowPunct w:val="0"/>
              <w:spacing w:before="123" w:after="127" w:line="268" w:lineRule="exact"/>
              <w:ind w:left="96"/>
              <w:jc w:val="center"/>
              <w:textAlignment w:val="baseline"/>
              <w:rPr>
                <w:rFonts w:hint="eastAsia" w:ascii="仿宋_GB2312" w:hAnsi="仿宋_GB2312" w:eastAsia="仿宋_GB2312" w:cs="仿宋_GB2312"/>
                <w:sz w:val="22"/>
                <w:szCs w:val="20"/>
              </w:rPr>
            </w:pPr>
            <w:r>
              <w:rPr>
                <w:rFonts w:hint="eastAsia" w:ascii="仿宋_GB2312" w:hAnsi="仿宋_GB2312" w:eastAsia="仿宋_GB2312" w:cs="仿宋_GB2312"/>
                <w:sz w:val="22"/>
                <w:szCs w:val="28"/>
              </w:rPr>
              <w:t>证件号码</w:t>
            </w:r>
          </w:p>
        </w:tc>
        <w:tc>
          <w:tcPr>
            <w:tcW w:w="1930" w:type="dxa"/>
            <w:tcBorders>
              <w:top w:val="single" w:color="auto" w:sz="4" w:space="0"/>
              <w:left w:val="single" w:color="auto" w:sz="4" w:space="0"/>
              <w:bottom w:val="single" w:color="auto" w:sz="4" w:space="0"/>
              <w:right w:val="single" w:color="auto" w:sz="4" w:space="0"/>
            </w:tcBorders>
            <w:vAlign w:val="center"/>
          </w:tcPr>
          <w:p w14:paraId="7190E66A">
            <w:pPr>
              <w:kinsoku w:val="0"/>
              <w:overflowPunct w:val="0"/>
              <w:spacing w:before="123" w:after="127" w:line="268" w:lineRule="exact"/>
              <w:ind w:left="96"/>
              <w:jc w:val="center"/>
              <w:textAlignment w:val="baseline"/>
              <w:rPr>
                <w:rFonts w:hint="eastAsia" w:ascii="仿宋_GB2312" w:hAnsi="仿宋_GB2312" w:eastAsia="仿宋_GB2312" w:cs="仿宋_GB2312"/>
                <w:sz w:val="22"/>
                <w:szCs w:val="20"/>
              </w:rPr>
            </w:pPr>
            <w:r>
              <w:rPr>
                <w:rFonts w:hint="eastAsia" w:ascii="仿宋_GB2312" w:hAnsi="仿宋_GB2312" w:eastAsia="仿宋_GB2312" w:cs="仿宋_GB2312"/>
                <w:sz w:val="22"/>
                <w:szCs w:val="20"/>
              </w:rPr>
              <w:t>工作任务</w:t>
            </w:r>
          </w:p>
        </w:tc>
      </w:tr>
      <w:tr w14:paraId="242D28BA">
        <w:trPr>
          <w:trHeight w:val="524" w:hRule="exact"/>
          <w:jc w:val="center"/>
        </w:trPr>
        <w:tc>
          <w:tcPr>
            <w:tcW w:w="662" w:type="dxa"/>
            <w:tcBorders>
              <w:top w:val="single" w:color="auto" w:sz="4" w:space="0"/>
              <w:left w:val="single" w:color="auto" w:sz="4" w:space="0"/>
              <w:bottom w:val="single" w:color="auto" w:sz="4" w:space="0"/>
              <w:right w:val="single" w:color="auto" w:sz="4" w:space="0"/>
            </w:tcBorders>
            <w:vAlign w:val="center"/>
          </w:tcPr>
          <w:p w14:paraId="5CC27102">
            <w:pPr>
              <w:kinsoku w:val="0"/>
              <w:overflowPunct w:val="0"/>
              <w:spacing w:before="141" w:after="142" w:line="235" w:lineRule="exact"/>
              <w:jc w:val="center"/>
              <w:textAlignment w:val="baseline"/>
              <w:rPr>
                <w:rFonts w:hint="eastAsia" w:ascii="仿宋_GB2312" w:hAnsi="仿宋_GB2312" w:eastAsia="仿宋_GB2312" w:cs="仿宋_GB2312"/>
                <w:sz w:val="22"/>
                <w:szCs w:val="20"/>
                <w:lang w:eastAsia="en-US"/>
              </w:rPr>
            </w:pPr>
            <w:r>
              <w:rPr>
                <w:rFonts w:hint="eastAsia" w:ascii="仿宋_GB2312" w:hAnsi="仿宋_GB2312" w:eastAsia="仿宋_GB2312" w:cs="仿宋_GB2312"/>
                <w:sz w:val="22"/>
                <w:szCs w:val="20"/>
                <w:lang w:eastAsia="en-US"/>
              </w:rPr>
              <w:t>1</w:t>
            </w:r>
          </w:p>
        </w:tc>
        <w:tc>
          <w:tcPr>
            <w:tcW w:w="1147" w:type="dxa"/>
            <w:tcBorders>
              <w:top w:val="single" w:color="auto" w:sz="4" w:space="0"/>
              <w:left w:val="single" w:color="auto" w:sz="4" w:space="0"/>
              <w:bottom w:val="single" w:color="auto" w:sz="4" w:space="0"/>
              <w:right w:val="single" w:color="auto" w:sz="4" w:space="0"/>
            </w:tcBorders>
            <w:vAlign w:val="center"/>
          </w:tcPr>
          <w:p w14:paraId="0DBA9D5C">
            <w:pPr>
              <w:kinsoku w:val="0"/>
              <w:overflowPunct w:val="0"/>
              <w:spacing w:before="123" w:after="127" w:line="268" w:lineRule="exact"/>
              <w:ind w:left="96"/>
              <w:jc w:val="center"/>
              <w:textAlignment w:val="baseline"/>
              <w:rPr>
                <w:rFonts w:hint="eastAsia" w:ascii="仿宋_GB2312" w:hAnsi="仿宋_GB2312" w:eastAsia="仿宋_GB2312" w:cs="仿宋_GB2312"/>
                <w:sz w:val="22"/>
                <w:szCs w:val="20"/>
                <w:lang w:eastAsia="en-US"/>
              </w:rPr>
            </w:pPr>
          </w:p>
        </w:tc>
        <w:tc>
          <w:tcPr>
            <w:tcW w:w="2977" w:type="dxa"/>
            <w:tcBorders>
              <w:top w:val="single" w:color="auto" w:sz="4" w:space="0"/>
              <w:left w:val="single" w:color="auto" w:sz="4" w:space="0"/>
              <w:bottom w:val="single" w:color="auto" w:sz="4" w:space="0"/>
              <w:right w:val="single" w:color="auto" w:sz="4" w:space="0"/>
            </w:tcBorders>
            <w:vAlign w:val="center"/>
          </w:tcPr>
          <w:p w14:paraId="278A9329">
            <w:pPr>
              <w:kinsoku w:val="0"/>
              <w:overflowPunct w:val="0"/>
              <w:spacing w:before="123" w:after="127" w:line="268" w:lineRule="exact"/>
              <w:ind w:left="96"/>
              <w:jc w:val="center"/>
              <w:textAlignment w:val="baseline"/>
              <w:rPr>
                <w:rFonts w:hint="eastAsia" w:ascii="仿宋_GB2312" w:hAnsi="仿宋_GB2312" w:eastAsia="仿宋_GB2312" w:cs="仿宋_GB2312"/>
                <w:sz w:val="22"/>
                <w:szCs w:val="20"/>
              </w:rPr>
            </w:pPr>
          </w:p>
        </w:tc>
        <w:tc>
          <w:tcPr>
            <w:tcW w:w="2126" w:type="dxa"/>
            <w:tcBorders>
              <w:top w:val="single" w:color="auto" w:sz="4" w:space="0"/>
              <w:left w:val="single" w:color="auto" w:sz="4" w:space="0"/>
              <w:bottom w:val="single" w:color="auto" w:sz="4" w:space="0"/>
              <w:right w:val="single" w:color="auto" w:sz="4" w:space="0"/>
            </w:tcBorders>
            <w:vAlign w:val="center"/>
          </w:tcPr>
          <w:p w14:paraId="262F9AB2">
            <w:pPr>
              <w:kinsoku w:val="0"/>
              <w:overflowPunct w:val="0"/>
              <w:spacing w:before="123" w:after="127" w:line="268" w:lineRule="exact"/>
              <w:ind w:left="96"/>
              <w:jc w:val="center"/>
              <w:textAlignment w:val="baseline"/>
              <w:rPr>
                <w:rFonts w:hint="eastAsia" w:ascii="仿宋_GB2312" w:hAnsi="仿宋_GB2312" w:eastAsia="仿宋_GB2312" w:cs="仿宋_GB2312"/>
                <w:sz w:val="22"/>
                <w:szCs w:val="20"/>
              </w:rPr>
            </w:pPr>
          </w:p>
        </w:tc>
        <w:tc>
          <w:tcPr>
            <w:tcW w:w="1930" w:type="dxa"/>
            <w:tcBorders>
              <w:top w:val="single" w:color="auto" w:sz="4" w:space="0"/>
              <w:left w:val="single" w:color="auto" w:sz="4" w:space="0"/>
              <w:bottom w:val="single" w:color="auto" w:sz="4" w:space="0"/>
              <w:right w:val="single" w:color="auto" w:sz="4" w:space="0"/>
            </w:tcBorders>
            <w:vAlign w:val="center"/>
          </w:tcPr>
          <w:p w14:paraId="29667D4C">
            <w:pPr>
              <w:kinsoku w:val="0"/>
              <w:overflowPunct w:val="0"/>
              <w:spacing w:before="123" w:after="127" w:line="268" w:lineRule="exact"/>
              <w:ind w:left="96"/>
              <w:jc w:val="center"/>
              <w:textAlignment w:val="baseline"/>
              <w:rPr>
                <w:rFonts w:hint="eastAsia" w:ascii="仿宋_GB2312" w:hAnsi="仿宋_GB2312" w:eastAsia="仿宋_GB2312" w:cs="仿宋_GB2312"/>
                <w:sz w:val="22"/>
                <w:szCs w:val="20"/>
              </w:rPr>
            </w:pPr>
          </w:p>
        </w:tc>
      </w:tr>
      <w:tr w14:paraId="0929CEEC">
        <w:trPr>
          <w:trHeight w:val="524" w:hRule="exact"/>
          <w:jc w:val="center"/>
        </w:trPr>
        <w:tc>
          <w:tcPr>
            <w:tcW w:w="662" w:type="dxa"/>
            <w:tcBorders>
              <w:top w:val="single" w:color="auto" w:sz="4" w:space="0"/>
              <w:left w:val="single" w:color="auto" w:sz="4" w:space="0"/>
              <w:bottom w:val="single" w:color="auto" w:sz="4" w:space="0"/>
              <w:right w:val="single" w:color="auto" w:sz="4" w:space="0"/>
            </w:tcBorders>
            <w:vAlign w:val="center"/>
          </w:tcPr>
          <w:p w14:paraId="7E3C9745">
            <w:pPr>
              <w:kinsoku w:val="0"/>
              <w:overflowPunct w:val="0"/>
              <w:spacing w:before="149" w:after="143" w:line="235" w:lineRule="exact"/>
              <w:jc w:val="center"/>
              <w:textAlignment w:val="baseline"/>
              <w:rPr>
                <w:rFonts w:hint="eastAsia" w:ascii="仿宋_GB2312" w:hAnsi="仿宋_GB2312" w:eastAsia="仿宋_GB2312" w:cs="仿宋_GB2312"/>
                <w:sz w:val="22"/>
                <w:szCs w:val="20"/>
                <w:lang w:eastAsia="en-US"/>
              </w:rPr>
            </w:pPr>
            <w:r>
              <w:rPr>
                <w:rFonts w:hint="eastAsia" w:ascii="仿宋_GB2312" w:hAnsi="仿宋_GB2312" w:eastAsia="仿宋_GB2312" w:cs="仿宋_GB2312"/>
                <w:sz w:val="22"/>
                <w:szCs w:val="20"/>
                <w:lang w:eastAsia="en-US"/>
              </w:rPr>
              <w:t>2</w:t>
            </w:r>
          </w:p>
        </w:tc>
        <w:tc>
          <w:tcPr>
            <w:tcW w:w="1147" w:type="dxa"/>
            <w:tcBorders>
              <w:top w:val="single" w:color="auto" w:sz="4" w:space="0"/>
              <w:left w:val="single" w:color="auto" w:sz="4" w:space="0"/>
              <w:bottom w:val="single" w:color="auto" w:sz="4" w:space="0"/>
              <w:right w:val="single" w:color="auto" w:sz="4" w:space="0"/>
            </w:tcBorders>
            <w:vAlign w:val="center"/>
          </w:tcPr>
          <w:p w14:paraId="688EB1A3">
            <w:pPr>
              <w:kinsoku w:val="0"/>
              <w:overflowPunct w:val="0"/>
              <w:spacing w:before="123" w:after="127" w:line="268" w:lineRule="exact"/>
              <w:ind w:left="96"/>
              <w:jc w:val="center"/>
              <w:textAlignment w:val="baseline"/>
              <w:rPr>
                <w:rFonts w:hint="eastAsia" w:ascii="仿宋_GB2312" w:hAnsi="仿宋_GB2312" w:eastAsia="仿宋_GB2312" w:cs="仿宋_GB2312"/>
                <w:sz w:val="22"/>
                <w:szCs w:val="20"/>
                <w:lang w:eastAsia="en-US"/>
              </w:rPr>
            </w:pPr>
          </w:p>
        </w:tc>
        <w:tc>
          <w:tcPr>
            <w:tcW w:w="2977" w:type="dxa"/>
            <w:tcBorders>
              <w:top w:val="single" w:color="auto" w:sz="4" w:space="0"/>
              <w:left w:val="single" w:color="auto" w:sz="4" w:space="0"/>
              <w:bottom w:val="single" w:color="auto" w:sz="4" w:space="0"/>
              <w:right w:val="single" w:color="auto" w:sz="4" w:space="0"/>
            </w:tcBorders>
            <w:vAlign w:val="center"/>
          </w:tcPr>
          <w:p w14:paraId="25E04762">
            <w:pPr>
              <w:kinsoku w:val="0"/>
              <w:overflowPunct w:val="0"/>
              <w:spacing w:before="123" w:after="127" w:line="268" w:lineRule="exact"/>
              <w:ind w:left="96"/>
              <w:jc w:val="center"/>
              <w:textAlignment w:val="baseline"/>
              <w:rPr>
                <w:rFonts w:hint="eastAsia" w:ascii="仿宋_GB2312" w:hAnsi="仿宋_GB2312" w:eastAsia="仿宋_GB2312" w:cs="仿宋_GB2312"/>
                <w:sz w:val="22"/>
                <w:szCs w:val="20"/>
              </w:rPr>
            </w:pPr>
          </w:p>
        </w:tc>
        <w:tc>
          <w:tcPr>
            <w:tcW w:w="2126" w:type="dxa"/>
            <w:tcBorders>
              <w:top w:val="single" w:color="auto" w:sz="4" w:space="0"/>
              <w:left w:val="single" w:color="auto" w:sz="4" w:space="0"/>
              <w:bottom w:val="single" w:color="auto" w:sz="4" w:space="0"/>
              <w:right w:val="single" w:color="auto" w:sz="4" w:space="0"/>
            </w:tcBorders>
            <w:vAlign w:val="center"/>
          </w:tcPr>
          <w:p w14:paraId="429DB4C5">
            <w:pPr>
              <w:kinsoku w:val="0"/>
              <w:overflowPunct w:val="0"/>
              <w:spacing w:before="123" w:after="127" w:line="268" w:lineRule="exact"/>
              <w:ind w:left="96"/>
              <w:jc w:val="center"/>
              <w:textAlignment w:val="baseline"/>
              <w:rPr>
                <w:rFonts w:hint="eastAsia" w:ascii="仿宋_GB2312" w:hAnsi="仿宋_GB2312" w:eastAsia="仿宋_GB2312" w:cs="仿宋_GB2312"/>
                <w:sz w:val="22"/>
                <w:szCs w:val="20"/>
              </w:rPr>
            </w:pPr>
          </w:p>
        </w:tc>
        <w:tc>
          <w:tcPr>
            <w:tcW w:w="1930" w:type="dxa"/>
            <w:tcBorders>
              <w:top w:val="single" w:color="auto" w:sz="4" w:space="0"/>
              <w:left w:val="single" w:color="auto" w:sz="4" w:space="0"/>
              <w:bottom w:val="single" w:color="auto" w:sz="4" w:space="0"/>
              <w:right w:val="single" w:color="auto" w:sz="4" w:space="0"/>
            </w:tcBorders>
            <w:vAlign w:val="center"/>
          </w:tcPr>
          <w:p w14:paraId="77DA2499">
            <w:pPr>
              <w:kinsoku w:val="0"/>
              <w:overflowPunct w:val="0"/>
              <w:spacing w:before="123" w:after="127" w:line="268" w:lineRule="exact"/>
              <w:ind w:left="96"/>
              <w:jc w:val="center"/>
              <w:textAlignment w:val="baseline"/>
              <w:rPr>
                <w:rFonts w:hint="eastAsia" w:ascii="仿宋_GB2312" w:hAnsi="仿宋_GB2312" w:eastAsia="仿宋_GB2312" w:cs="仿宋_GB2312"/>
                <w:sz w:val="22"/>
                <w:szCs w:val="20"/>
              </w:rPr>
            </w:pPr>
          </w:p>
        </w:tc>
      </w:tr>
      <w:tr w14:paraId="346586F9">
        <w:trPr>
          <w:trHeight w:val="524" w:hRule="exact"/>
          <w:jc w:val="center"/>
        </w:trPr>
        <w:tc>
          <w:tcPr>
            <w:tcW w:w="662" w:type="dxa"/>
            <w:tcBorders>
              <w:top w:val="single" w:color="auto" w:sz="4" w:space="0"/>
              <w:left w:val="single" w:color="auto" w:sz="4" w:space="0"/>
              <w:bottom w:val="single" w:color="auto" w:sz="4" w:space="0"/>
              <w:right w:val="single" w:color="auto" w:sz="4" w:space="0"/>
            </w:tcBorders>
            <w:vAlign w:val="center"/>
          </w:tcPr>
          <w:p w14:paraId="2AE516AF">
            <w:pPr>
              <w:kinsoku w:val="0"/>
              <w:overflowPunct w:val="0"/>
              <w:spacing w:before="130" w:after="152" w:line="235" w:lineRule="exact"/>
              <w:jc w:val="center"/>
              <w:textAlignment w:val="baseline"/>
              <w:rPr>
                <w:rFonts w:hint="eastAsia" w:ascii="仿宋_GB2312" w:hAnsi="仿宋_GB2312" w:eastAsia="仿宋_GB2312" w:cs="仿宋_GB2312"/>
                <w:sz w:val="22"/>
                <w:szCs w:val="20"/>
                <w:lang w:eastAsia="en-US"/>
              </w:rPr>
            </w:pPr>
            <w:r>
              <w:rPr>
                <w:rFonts w:hint="eastAsia" w:ascii="仿宋_GB2312" w:hAnsi="仿宋_GB2312" w:eastAsia="仿宋_GB2312" w:cs="仿宋_GB2312"/>
                <w:sz w:val="22"/>
                <w:szCs w:val="20"/>
                <w:lang w:eastAsia="en-US"/>
              </w:rPr>
              <w:t>3</w:t>
            </w:r>
          </w:p>
        </w:tc>
        <w:tc>
          <w:tcPr>
            <w:tcW w:w="1147" w:type="dxa"/>
            <w:tcBorders>
              <w:top w:val="single" w:color="auto" w:sz="4" w:space="0"/>
              <w:left w:val="single" w:color="auto" w:sz="4" w:space="0"/>
              <w:bottom w:val="single" w:color="auto" w:sz="4" w:space="0"/>
              <w:right w:val="single" w:color="auto" w:sz="4" w:space="0"/>
            </w:tcBorders>
            <w:vAlign w:val="center"/>
          </w:tcPr>
          <w:p w14:paraId="18CFDE41">
            <w:pPr>
              <w:kinsoku w:val="0"/>
              <w:overflowPunct w:val="0"/>
              <w:spacing w:before="123" w:after="127" w:line="268" w:lineRule="exact"/>
              <w:ind w:left="96"/>
              <w:jc w:val="center"/>
              <w:textAlignment w:val="baseline"/>
              <w:rPr>
                <w:rFonts w:hint="eastAsia" w:ascii="仿宋_GB2312" w:hAnsi="仿宋_GB2312" w:eastAsia="仿宋_GB2312" w:cs="仿宋_GB2312"/>
                <w:sz w:val="22"/>
                <w:szCs w:val="20"/>
                <w:lang w:eastAsia="en-US"/>
              </w:rPr>
            </w:pPr>
          </w:p>
        </w:tc>
        <w:tc>
          <w:tcPr>
            <w:tcW w:w="2977" w:type="dxa"/>
            <w:tcBorders>
              <w:top w:val="single" w:color="auto" w:sz="4" w:space="0"/>
              <w:left w:val="single" w:color="auto" w:sz="4" w:space="0"/>
              <w:bottom w:val="single" w:color="auto" w:sz="4" w:space="0"/>
              <w:right w:val="single" w:color="auto" w:sz="4" w:space="0"/>
            </w:tcBorders>
            <w:vAlign w:val="center"/>
          </w:tcPr>
          <w:p w14:paraId="0858732E">
            <w:pPr>
              <w:kinsoku w:val="0"/>
              <w:overflowPunct w:val="0"/>
              <w:spacing w:before="123" w:after="127" w:line="268" w:lineRule="exact"/>
              <w:ind w:left="96"/>
              <w:jc w:val="center"/>
              <w:textAlignment w:val="baseline"/>
              <w:rPr>
                <w:rFonts w:hint="eastAsia" w:ascii="仿宋_GB2312" w:hAnsi="仿宋_GB2312" w:eastAsia="仿宋_GB2312" w:cs="仿宋_GB2312"/>
                <w:sz w:val="22"/>
                <w:szCs w:val="20"/>
              </w:rPr>
            </w:pPr>
          </w:p>
        </w:tc>
        <w:tc>
          <w:tcPr>
            <w:tcW w:w="2126" w:type="dxa"/>
            <w:tcBorders>
              <w:top w:val="single" w:color="auto" w:sz="4" w:space="0"/>
              <w:left w:val="single" w:color="auto" w:sz="4" w:space="0"/>
              <w:bottom w:val="single" w:color="auto" w:sz="4" w:space="0"/>
              <w:right w:val="single" w:color="auto" w:sz="4" w:space="0"/>
            </w:tcBorders>
            <w:vAlign w:val="center"/>
          </w:tcPr>
          <w:p w14:paraId="20195B93">
            <w:pPr>
              <w:kinsoku w:val="0"/>
              <w:overflowPunct w:val="0"/>
              <w:spacing w:before="123" w:after="127" w:line="268" w:lineRule="exact"/>
              <w:ind w:left="96"/>
              <w:jc w:val="center"/>
              <w:textAlignment w:val="baseline"/>
              <w:rPr>
                <w:rFonts w:hint="eastAsia" w:ascii="仿宋_GB2312" w:hAnsi="仿宋_GB2312" w:eastAsia="仿宋_GB2312" w:cs="仿宋_GB2312"/>
                <w:sz w:val="22"/>
                <w:szCs w:val="20"/>
              </w:rPr>
            </w:pPr>
          </w:p>
        </w:tc>
        <w:tc>
          <w:tcPr>
            <w:tcW w:w="1930" w:type="dxa"/>
            <w:tcBorders>
              <w:top w:val="single" w:color="auto" w:sz="4" w:space="0"/>
              <w:left w:val="single" w:color="auto" w:sz="4" w:space="0"/>
              <w:bottom w:val="single" w:color="auto" w:sz="4" w:space="0"/>
              <w:right w:val="single" w:color="auto" w:sz="4" w:space="0"/>
            </w:tcBorders>
            <w:vAlign w:val="center"/>
          </w:tcPr>
          <w:p w14:paraId="33E2498B">
            <w:pPr>
              <w:kinsoku w:val="0"/>
              <w:overflowPunct w:val="0"/>
              <w:spacing w:before="123" w:after="127" w:line="268" w:lineRule="exact"/>
              <w:ind w:left="96"/>
              <w:jc w:val="center"/>
              <w:textAlignment w:val="baseline"/>
              <w:rPr>
                <w:rFonts w:hint="eastAsia" w:ascii="仿宋_GB2312" w:hAnsi="仿宋_GB2312" w:eastAsia="仿宋_GB2312" w:cs="仿宋_GB2312"/>
                <w:sz w:val="22"/>
                <w:szCs w:val="20"/>
              </w:rPr>
            </w:pPr>
          </w:p>
        </w:tc>
      </w:tr>
      <w:tr w14:paraId="7A4F3AFD">
        <w:trPr>
          <w:trHeight w:val="524" w:hRule="exact"/>
          <w:jc w:val="center"/>
        </w:trPr>
        <w:tc>
          <w:tcPr>
            <w:tcW w:w="662" w:type="dxa"/>
            <w:tcBorders>
              <w:top w:val="single" w:color="auto" w:sz="4" w:space="0"/>
              <w:left w:val="single" w:color="auto" w:sz="4" w:space="0"/>
              <w:bottom w:val="single" w:color="auto" w:sz="4" w:space="0"/>
              <w:right w:val="single" w:color="auto" w:sz="4" w:space="0"/>
            </w:tcBorders>
            <w:vAlign w:val="center"/>
          </w:tcPr>
          <w:p w14:paraId="4BC64333">
            <w:pPr>
              <w:kinsoku w:val="0"/>
              <w:overflowPunct w:val="0"/>
              <w:spacing w:before="140" w:after="128" w:line="235" w:lineRule="exact"/>
              <w:jc w:val="center"/>
              <w:textAlignment w:val="baseline"/>
              <w:rPr>
                <w:rFonts w:hint="eastAsia" w:ascii="仿宋_GB2312" w:hAnsi="仿宋_GB2312" w:eastAsia="仿宋_GB2312" w:cs="仿宋_GB2312"/>
                <w:sz w:val="22"/>
                <w:szCs w:val="20"/>
                <w:lang w:eastAsia="en-US"/>
              </w:rPr>
            </w:pPr>
            <w:r>
              <w:rPr>
                <w:rFonts w:hint="eastAsia" w:ascii="仿宋_GB2312" w:hAnsi="仿宋_GB2312" w:eastAsia="仿宋_GB2312" w:cs="仿宋_GB2312"/>
                <w:sz w:val="22"/>
                <w:szCs w:val="20"/>
                <w:lang w:eastAsia="en-US"/>
              </w:rPr>
              <w:t>4</w:t>
            </w:r>
          </w:p>
        </w:tc>
        <w:tc>
          <w:tcPr>
            <w:tcW w:w="1147" w:type="dxa"/>
            <w:tcBorders>
              <w:top w:val="single" w:color="auto" w:sz="4" w:space="0"/>
              <w:left w:val="single" w:color="auto" w:sz="4" w:space="0"/>
              <w:bottom w:val="single" w:color="auto" w:sz="4" w:space="0"/>
              <w:right w:val="single" w:color="auto" w:sz="4" w:space="0"/>
            </w:tcBorders>
            <w:vAlign w:val="center"/>
          </w:tcPr>
          <w:p w14:paraId="42256951">
            <w:pPr>
              <w:kinsoku w:val="0"/>
              <w:overflowPunct w:val="0"/>
              <w:spacing w:before="123" w:after="127" w:line="268" w:lineRule="exact"/>
              <w:ind w:left="96"/>
              <w:jc w:val="center"/>
              <w:textAlignment w:val="baseline"/>
              <w:rPr>
                <w:rFonts w:hint="eastAsia" w:ascii="仿宋_GB2312" w:hAnsi="仿宋_GB2312" w:eastAsia="仿宋_GB2312" w:cs="仿宋_GB2312"/>
                <w:sz w:val="22"/>
                <w:szCs w:val="20"/>
                <w:lang w:eastAsia="en-US"/>
              </w:rPr>
            </w:pPr>
          </w:p>
        </w:tc>
        <w:tc>
          <w:tcPr>
            <w:tcW w:w="2977" w:type="dxa"/>
            <w:tcBorders>
              <w:top w:val="single" w:color="auto" w:sz="4" w:space="0"/>
              <w:left w:val="single" w:color="auto" w:sz="4" w:space="0"/>
              <w:bottom w:val="single" w:color="auto" w:sz="4" w:space="0"/>
              <w:right w:val="single" w:color="auto" w:sz="4" w:space="0"/>
            </w:tcBorders>
            <w:vAlign w:val="center"/>
          </w:tcPr>
          <w:p w14:paraId="351AEDAD">
            <w:pPr>
              <w:kinsoku w:val="0"/>
              <w:overflowPunct w:val="0"/>
              <w:spacing w:before="123" w:after="127" w:line="268" w:lineRule="exact"/>
              <w:ind w:left="96"/>
              <w:jc w:val="center"/>
              <w:textAlignment w:val="baseline"/>
              <w:rPr>
                <w:rFonts w:hint="eastAsia" w:ascii="仿宋_GB2312" w:hAnsi="仿宋_GB2312" w:eastAsia="仿宋_GB2312" w:cs="仿宋_GB2312"/>
                <w:sz w:val="22"/>
                <w:szCs w:val="20"/>
              </w:rPr>
            </w:pPr>
          </w:p>
        </w:tc>
        <w:tc>
          <w:tcPr>
            <w:tcW w:w="2126" w:type="dxa"/>
            <w:tcBorders>
              <w:top w:val="single" w:color="auto" w:sz="4" w:space="0"/>
              <w:left w:val="single" w:color="auto" w:sz="4" w:space="0"/>
              <w:bottom w:val="single" w:color="auto" w:sz="4" w:space="0"/>
              <w:right w:val="single" w:color="auto" w:sz="4" w:space="0"/>
            </w:tcBorders>
            <w:vAlign w:val="center"/>
          </w:tcPr>
          <w:p w14:paraId="24A3FC25">
            <w:pPr>
              <w:kinsoku w:val="0"/>
              <w:overflowPunct w:val="0"/>
              <w:spacing w:before="123" w:after="127" w:line="268" w:lineRule="exact"/>
              <w:ind w:left="96"/>
              <w:jc w:val="center"/>
              <w:textAlignment w:val="baseline"/>
              <w:rPr>
                <w:rFonts w:hint="eastAsia" w:ascii="仿宋_GB2312" w:hAnsi="仿宋_GB2312" w:eastAsia="仿宋_GB2312" w:cs="仿宋_GB2312"/>
                <w:sz w:val="22"/>
                <w:szCs w:val="20"/>
              </w:rPr>
            </w:pPr>
          </w:p>
        </w:tc>
        <w:tc>
          <w:tcPr>
            <w:tcW w:w="1930" w:type="dxa"/>
            <w:tcBorders>
              <w:top w:val="single" w:color="auto" w:sz="4" w:space="0"/>
              <w:left w:val="single" w:color="auto" w:sz="4" w:space="0"/>
              <w:bottom w:val="single" w:color="auto" w:sz="4" w:space="0"/>
              <w:right w:val="single" w:color="auto" w:sz="4" w:space="0"/>
            </w:tcBorders>
            <w:vAlign w:val="center"/>
          </w:tcPr>
          <w:p w14:paraId="2EC620DE">
            <w:pPr>
              <w:kinsoku w:val="0"/>
              <w:overflowPunct w:val="0"/>
              <w:spacing w:before="123" w:after="127" w:line="268" w:lineRule="exact"/>
              <w:ind w:left="96"/>
              <w:jc w:val="center"/>
              <w:textAlignment w:val="baseline"/>
              <w:rPr>
                <w:rFonts w:hint="eastAsia" w:ascii="仿宋_GB2312" w:hAnsi="仿宋_GB2312" w:eastAsia="仿宋_GB2312" w:cs="仿宋_GB2312"/>
                <w:sz w:val="22"/>
                <w:szCs w:val="20"/>
              </w:rPr>
            </w:pPr>
          </w:p>
        </w:tc>
      </w:tr>
      <w:tr w14:paraId="342B9B8E">
        <w:trPr>
          <w:trHeight w:val="524" w:hRule="exact"/>
          <w:jc w:val="center"/>
        </w:trPr>
        <w:tc>
          <w:tcPr>
            <w:tcW w:w="662" w:type="dxa"/>
            <w:tcBorders>
              <w:top w:val="single" w:color="auto" w:sz="4" w:space="0"/>
              <w:left w:val="single" w:color="auto" w:sz="4" w:space="0"/>
              <w:bottom w:val="single" w:color="auto" w:sz="4" w:space="0"/>
              <w:right w:val="single" w:color="auto" w:sz="4" w:space="0"/>
            </w:tcBorders>
            <w:vAlign w:val="center"/>
          </w:tcPr>
          <w:p w14:paraId="6431ACB5">
            <w:pPr>
              <w:kinsoku w:val="0"/>
              <w:overflowPunct w:val="0"/>
              <w:spacing w:before="145" w:after="138" w:line="235" w:lineRule="exact"/>
              <w:jc w:val="center"/>
              <w:textAlignment w:val="baseline"/>
              <w:rPr>
                <w:rFonts w:hint="eastAsia" w:ascii="仿宋_GB2312" w:hAnsi="仿宋_GB2312" w:eastAsia="仿宋_GB2312" w:cs="仿宋_GB2312"/>
                <w:sz w:val="22"/>
                <w:szCs w:val="20"/>
                <w:lang w:eastAsia="en-US"/>
              </w:rPr>
            </w:pPr>
            <w:r>
              <w:rPr>
                <w:rFonts w:hint="eastAsia" w:ascii="仿宋_GB2312" w:hAnsi="仿宋_GB2312" w:eastAsia="仿宋_GB2312" w:cs="仿宋_GB2312"/>
                <w:sz w:val="22"/>
                <w:szCs w:val="20"/>
                <w:lang w:eastAsia="en-US"/>
              </w:rPr>
              <w:t>5</w:t>
            </w:r>
          </w:p>
        </w:tc>
        <w:tc>
          <w:tcPr>
            <w:tcW w:w="1147" w:type="dxa"/>
            <w:tcBorders>
              <w:top w:val="single" w:color="auto" w:sz="4" w:space="0"/>
              <w:left w:val="single" w:color="auto" w:sz="4" w:space="0"/>
              <w:bottom w:val="single" w:color="auto" w:sz="4" w:space="0"/>
              <w:right w:val="single" w:color="auto" w:sz="4" w:space="0"/>
            </w:tcBorders>
            <w:vAlign w:val="center"/>
          </w:tcPr>
          <w:p w14:paraId="65FB8BE2">
            <w:pPr>
              <w:kinsoku w:val="0"/>
              <w:overflowPunct w:val="0"/>
              <w:spacing w:before="123" w:after="127" w:line="268" w:lineRule="exact"/>
              <w:ind w:left="96"/>
              <w:jc w:val="center"/>
              <w:textAlignment w:val="baseline"/>
              <w:rPr>
                <w:rFonts w:hint="eastAsia" w:ascii="仿宋_GB2312" w:hAnsi="仿宋_GB2312" w:eastAsia="仿宋_GB2312" w:cs="仿宋_GB2312"/>
                <w:sz w:val="22"/>
                <w:szCs w:val="20"/>
                <w:lang w:eastAsia="en-US"/>
              </w:rPr>
            </w:pPr>
          </w:p>
        </w:tc>
        <w:tc>
          <w:tcPr>
            <w:tcW w:w="2977" w:type="dxa"/>
            <w:tcBorders>
              <w:top w:val="single" w:color="auto" w:sz="4" w:space="0"/>
              <w:left w:val="single" w:color="auto" w:sz="4" w:space="0"/>
              <w:bottom w:val="single" w:color="auto" w:sz="4" w:space="0"/>
              <w:right w:val="single" w:color="auto" w:sz="4" w:space="0"/>
            </w:tcBorders>
            <w:vAlign w:val="center"/>
          </w:tcPr>
          <w:p w14:paraId="02938592">
            <w:pPr>
              <w:kinsoku w:val="0"/>
              <w:overflowPunct w:val="0"/>
              <w:spacing w:before="123" w:after="127" w:line="268" w:lineRule="exact"/>
              <w:ind w:left="96"/>
              <w:jc w:val="center"/>
              <w:textAlignment w:val="baseline"/>
              <w:rPr>
                <w:rFonts w:hint="eastAsia" w:ascii="仿宋_GB2312" w:hAnsi="仿宋_GB2312" w:eastAsia="仿宋_GB2312" w:cs="仿宋_GB2312"/>
                <w:sz w:val="22"/>
                <w:szCs w:val="20"/>
              </w:rPr>
            </w:pPr>
          </w:p>
        </w:tc>
        <w:tc>
          <w:tcPr>
            <w:tcW w:w="2126" w:type="dxa"/>
            <w:tcBorders>
              <w:top w:val="single" w:color="auto" w:sz="4" w:space="0"/>
              <w:left w:val="single" w:color="auto" w:sz="4" w:space="0"/>
              <w:bottom w:val="single" w:color="auto" w:sz="4" w:space="0"/>
              <w:right w:val="single" w:color="auto" w:sz="4" w:space="0"/>
            </w:tcBorders>
            <w:vAlign w:val="center"/>
          </w:tcPr>
          <w:p w14:paraId="1CC2A9C4">
            <w:pPr>
              <w:kinsoku w:val="0"/>
              <w:overflowPunct w:val="0"/>
              <w:spacing w:before="123" w:after="127" w:line="268" w:lineRule="exact"/>
              <w:ind w:left="96"/>
              <w:jc w:val="center"/>
              <w:textAlignment w:val="baseline"/>
              <w:rPr>
                <w:rFonts w:hint="eastAsia" w:ascii="仿宋_GB2312" w:hAnsi="仿宋_GB2312" w:eastAsia="仿宋_GB2312" w:cs="仿宋_GB2312"/>
                <w:sz w:val="22"/>
                <w:szCs w:val="20"/>
              </w:rPr>
            </w:pPr>
          </w:p>
        </w:tc>
        <w:tc>
          <w:tcPr>
            <w:tcW w:w="1930" w:type="dxa"/>
            <w:tcBorders>
              <w:top w:val="single" w:color="auto" w:sz="4" w:space="0"/>
              <w:left w:val="single" w:color="auto" w:sz="4" w:space="0"/>
              <w:bottom w:val="single" w:color="auto" w:sz="4" w:space="0"/>
              <w:right w:val="single" w:color="auto" w:sz="4" w:space="0"/>
            </w:tcBorders>
            <w:vAlign w:val="center"/>
          </w:tcPr>
          <w:p w14:paraId="6B6A9901">
            <w:pPr>
              <w:kinsoku w:val="0"/>
              <w:overflowPunct w:val="0"/>
              <w:spacing w:before="123" w:after="127" w:line="268" w:lineRule="exact"/>
              <w:ind w:left="96"/>
              <w:jc w:val="center"/>
              <w:textAlignment w:val="baseline"/>
              <w:rPr>
                <w:rFonts w:hint="eastAsia" w:ascii="仿宋_GB2312" w:hAnsi="仿宋_GB2312" w:eastAsia="仿宋_GB2312" w:cs="仿宋_GB2312"/>
                <w:sz w:val="22"/>
                <w:szCs w:val="20"/>
              </w:rPr>
            </w:pPr>
          </w:p>
        </w:tc>
      </w:tr>
      <w:tr w14:paraId="799BB7BD">
        <w:trPr>
          <w:trHeight w:val="524" w:hRule="exact"/>
          <w:jc w:val="center"/>
        </w:trPr>
        <w:tc>
          <w:tcPr>
            <w:tcW w:w="662" w:type="dxa"/>
            <w:tcBorders>
              <w:top w:val="single" w:color="auto" w:sz="4" w:space="0"/>
              <w:left w:val="single" w:color="auto" w:sz="4" w:space="0"/>
              <w:bottom w:val="single" w:color="auto" w:sz="4" w:space="0"/>
              <w:right w:val="single" w:color="auto" w:sz="4" w:space="0"/>
            </w:tcBorders>
            <w:vAlign w:val="center"/>
          </w:tcPr>
          <w:p w14:paraId="4083BE7D">
            <w:pPr>
              <w:kinsoku w:val="0"/>
              <w:overflowPunct w:val="0"/>
              <w:spacing w:before="136" w:after="152" w:line="235" w:lineRule="exact"/>
              <w:jc w:val="center"/>
              <w:textAlignment w:val="baseline"/>
              <w:rPr>
                <w:rFonts w:hint="eastAsia" w:ascii="仿宋_GB2312" w:hAnsi="仿宋_GB2312" w:eastAsia="仿宋_GB2312" w:cs="仿宋_GB2312"/>
                <w:sz w:val="22"/>
                <w:szCs w:val="20"/>
                <w:lang w:eastAsia="en-US"/>
              </w:rPr>
            </w:pPr>
            <w:r>
              <w:rPr>
                <w:rFonts w:hint="eastAsia" w:ascii="仿宋_GB2312" w:hAnsi="仿宋_GB2312" w:eastAsia="仿宋_GB2312" w:cs="仿宋_GB2312"/>
                <w:sz w:val="22"/>
                <w:szCs w:val="20"/>
                <w:lang w:eastAsia="en-US"/>
              </w:rPr>
              <w:t>6</w:t>
            </w:r>
          </w:p>
        </w:tc>
        <w:tc>
          <w:tcPr>
            <w:tcW w:w="1147" w:type="dxa"/>
            <w:tcBorders>
              <w:top w:val="single" w:color="auto" w:sz="4" w:space="0"/>
              <w:left w:val="single" w:color="auto" w:sz="4" w:space="0"/>
              <w:bottom w:val="single" w:color="auto" w:sz="4" w:space="0"/>
              <w:right w:val="single" w:color="auto" w:sz="4" w:space="0"/>
            </w:tcBorders>
            <w:vAlign w:val="center"/>
          </w:tcPr>
          <w:p w14:paraId="709C3614">
            <w:pPr>
              <w:kinsoku w:val="0"/>
              <w:overflowPunct w:val="0"/>
              <w:spacing w:before="123" w:after="127" w:line="268" w:lineRule="exact"/>
              <w:ind w:left="96"/>
              <w:jc w:val="center"/>
              <w:textAlignment w:val="baseline"/>
              <w:rPr>
                <w:rFonts w:hint="eastAsia" w:ascii="仿宋_GB2312" w:hAnsi="仿宋_GB2312" w:eastAsia="仿宋_GB2312" w:cs="仿宋_GB2312"/>
                <w:sz w:val="22"/>
                <w:szCs w:val="20"/>
                <w:lang w:eastAsia="en-US"/>
              </w:rPr>
            </w:pPr>
          </w:p>
        </w:tc>
        <w:tc>
          <w:tcPr>
            <w:tcW w:w="2977" w:type="dxa"/>
            <w:tcBorders>
              <w:top w:val="single" w:color="auto" w:sz="4" w:space="0"/>
              <w:left w:val="single" w:color="auto" w:sz="4" w:space="0"/>
              <w:bottom w:val="single" w:color="auto" w:sz="4" w:space="0"/>
              <w:right w:val="single" w:color="auto" w:sz="4" w:space="0"/>
            </w:tcBorders>
            <w:vAlign w:val="center"/>
          </w:tcPr>
          <w:p w14:paraId="3A1D61CE">
            <w:pPr>
              <w:kinsoku w:val="0"/>
              <w:overflowPunct w:val="0"/>
              <w:spacing w:before="123" w:after="127" w:line="268" w:lineRule="exact"/>
              <w:ind w:left="96"/>
              <w:jc w:val="center"/>
              <w:textAlignment w:val="baseline"/>
              <w:rPr>
                <w:rFonts w:hint="eastAsia" w:ascii="仿宋_GB2312" w:hAnsi="仿宋_GB2312" w:eastAsia="仿宋_GB2312" w:cs="仿宋_GB2312"/>
                <w:sz w:val="22"/>
                <w:szCs w:val="20"/>
              </w:rPr>
            </w:pPr>
          </w:p>
        </w:tc>
        <w:tc>
          <w:tcPr>
            <w:tcW w:w="2126" w:type="dxa"/>
            <w:tcBorders>
              <w:top w:val="single" w:color="auto" w:sz="4" w:space="0"/>
              <w:left w:val="single" w:color="auto" w:sz="4" w:space="0"/>
              <w:bottom w:val="single" w:color="auto" w:sz="4" w:space="0"/>
              <w:right w:val="single" w:color="auto" w:sz="4" w:space="0"/>
            </w:tcBorders>
            <w:vAlign w:val="center"/>
          </w:tcPr>
          <w:p w14:paraId="2AB6EB83">
            <w:pPr>
              <w:kinsoku w:val="0"/>
              <w:overflowPunct w:val="0"/>
              <w:spacing w:before="123" w:after="127" w:line="268" w:lineRule="exact"/>
              <w:ind w:left="96"/>
              <w:jc w:val="center"/>
              <w:textAlignment w:val="baseline"/>
              <w:rPr>
                <w:rFonts w:hint="eastAsia" w:ascii="仿宋_GB2312" w:hAnsi="仿宋_GB2312" w:eastAsia="仿宋_GB2312" w:cs="仿宋_GB2312"/>
                <w:sz w:val="22"/>
                <w:szCs w:val="20"/>
              </w:rPr>
            </w:pPr>
          </w:p>
        </w:tc>
        <w:tc>
          <w:tcPr>
            <w:tcW w:w="1930" w:type="dxa"/>
            <w:tcBorders>
              <w:top w:val="single" w:color="auto" w:sz="4" w:space="0"/>
              <w:left w:val="single" w:color="auto" w:sz="4" w:space="0"/>
              <w:bottom w:val="single" w:color="auto" w:sz="4" w:space="0"/>
              <w:right w:val="single" w:color="auto" w:sz="4" w:space="0"/>
            </w:tcBorders>
            <w:vAlign w:val="center"/>
          </w:tcPr>
          <w:p w14:paraId="74FC2A05">
            <w:pPr>
              <w:kinsoku w:val="0"/>
              <w:overflowPunct w:val="0"/>
              <w:spacing w:before="123" w:after="127" w:line="268" w:lineRule="exact"/>
              <w:ind w:left="96"/>
              <w:jc w:val="center"/>
              <w:textAlignment w:val="baseline"/>
              <w:rPr>
                <w:rFonts w:hint="eastAsia" w:ascii="仿宋_GB2312" w:hAnsi="仿宋_GB2312" w:eastAsia="仿宋_GB2312" w:cs="仿宋_GB2312"/>
                <w:sz w:val="22"/>
                <w:szCs w:val="20"/>
              </w:rPr>
            </w:pPr>
          </w:p>
        </w:tc>
      </w:tr>
      <w:tr w14:paraId="32A440FE">
        <w:trPr>
          <w:trHeight w:val="524" w:hRule="exact"/>
          <w:jc w:val="center"/>
        </w:trPr>
        <w:tc>
          <w:tcPr>
            <w:tcW w:w="662" w:type="dxa"/>
            <w:tcBorders>
              <w:top w:val="single" w:color="auto" w:sz="4" w:space="0"/>
              <w:left w:val="single" w:color="auto" w:sz="4" w:space="0"/>
              <w:bottom w:val="single" w:color="auto" w:sz="4" w:space="0"/>
              <w:right w:val="single" w:color="auto" w:sz="4" w:space="0"/>
            </w:tcBorders>
            <w:vAlign w:val="center"/>
          </w:tcPr>
          <w:p w14:paraId="20B9C23B">
            <w:pPr>
              <w:kinsoku w:val="0"/>
              <w:overflowPunct w:val="0"/>
              <w:spacing w:before="135" w:after="147" w:line="235" w:lineRule="exact"/>
              <w:jc w:val="center"/>
              <w:textAlignment w:val="baseline"/>
              <w:rPr>
                <w:rFonts w:hint="eastAsia" w:ascii="仿宋_GB2312" w:hAnsi="仿宋_GB2312" w:eastAsia="仿宋_GB2312" w:cs="仿宋_GB2312"/>
                <w:sz w:val="22"/>
                <w:szCs w:val="20"/>
                <w:lang w:eastAsia="en-US"/>
              </w:rPr>
            </w:pPr>
            <w:r>
              <w:rPr>
                <w:rFonts w:hint="eastAsia" w:ascii="仿宋_GB2312" w:hAnsi="仿宋_GB2312" w:eastAsia="仿宋_GB2312" w:cs="仿宋_GB2312"/>
                <w:sz w:val="22"/>
                <w:szCs w:val="20"/>
                <w:lang w:eastAsia="en-US"/>
              </w:rPr>
              <w:t>7</w:t>
            </w:r>
          </w:p>
        </w:tc>
        <w:tc>
          <w:tcPr>
            <w:tcW w:w="1147" w:type="dxa"/>
            <w:tcBorders>
              <w:top w:val="single" w:color="auto" w:sz="4" w:space="0"/>
              <w:left w:val="single" w:color="auto" w:sz="4" w:space="0"/>
              <w:bottom w:val="single" w:color="auto" w:sz="4" w:space="0"/>
              <w:right w:val="single" w:color="auto" w:sz="4" w:space="0"/>
            </w:tcBorders>
            <w:vAlign w:val="center"/>
          </w:tcPr>
          <w:p w14:paraId="39BA12AB">
            <w:pPr>
              <w:kinsoku w:val="0"/>
              <w:overflowPunct w:val="0"/>
              <w:spacing w:before="123" w:after="127" w:line="268" w:lineRule="exact"/>
              <w:ind w:left="96"/>
              <w:jc w:val="center"/>
              <w:textAlignment w:val="baseline"/>
              <w:rPr>
                <w:rFonts w:hint="eastAsia" w:ascii="仿宋_GB2312" w:hAnsi="仿宋_GB2312" w:eastAsia="仿宋_GB2312" w:cs="仿宋_GB2312"/>
                <w:sz w:val="22"/>
                <w:szCs w:val="20"/>
                <w:lang w:eastAsia="en-US"/>
              </w:rPr>
            </w:pPr>
          </w:p>
        </w:tc>
        <w:tc>
          <w:tcPr>
            <w:tcW w:w="2977" w:type="dxa"/>
            <w:tcBorders>
              <w:top w:val="single" w:color="auto" w:sz="4" w:space="0"/>
              <w:left w:val="single" w:color="auto" w:sz="4" w:space="0"/>
              <w:bottom w:val="single" w:color="auto" w:sz="4" w:space="0"/>
              <w:right w:val="single" w:color="auto" w:sz="4" w:space="0"/>
            </w:tcBorders>
            <w:vAlign w:val="center"/>
          </w:tcPr>
          <w:p w14:paraId="1325997B">
            <w:pPr>
              <w:kinsoku w:val="0"/>
              <w:overflowPunct w:val="0"/>
              <w:spacing w:before="123" w:after="127" w:line="268" w:lineRule="exact"/>
              <w:ind w:left="96"/>
              <w:jc w:val="center"/>
              <w:textAlignment w:val="baseline"/>
              <w:rPr>
                <w:rFonts w:hint="eastAsia" w:ascii="仿宋_GB2312" w:hAnsi="仿宋_GB2312" w:eastAsia="仿宋_GB2312" w:cs="仿宋_GB2312"/>
                <w:sz w:val="22"/>
                <w:szCs w:val="20"/>
              </w:rPr>
            </w:pPr>
          </w:p>
        </w:tc>
        <w:tc>
          <w:tcPr>
            <w:tcW w:w="2126" w:type="dxa"/>
            <w:tcBorders>
              <w:top w:val="single" w:color="auto" w:sz="4" w:space="0"/>
              <w:left w:val="single" w:color="auto" w:sz="4" w:space="0"/>
              <w:bottom w:val="single" w:color="auto" w:sz="4" w:space="0"/>
              <w:right w:val="single" w:color="auto" w:sz="4" w:space="0"/>
            </w:tcBorders>
            <w:vAlign w:val="center"/>
          </w:tcPr>
          <w:p w14:paraId="7BDC5FD4">
            <w:pPr>
              <w:kinsoku w:val="0"/>
              <w:overflowPunct w:val="0"/>
              <w:spacing w:before="123" w:after="127" w:line="268" w:lineRule="exact"/>
              <w:ind w:left="96"/>
              <w:jc w:val="center"/>
              <w:textAlignment w:val="baseline"/>
              <w:rPr>
                <w:rFonts w:hint="eastAsia" w:ascii="仿宋_GB2312" w:hAnsi="仿宋_GB2312" w:eastAsia="仿宋_GB2312" w:cs="仿宋_GB2312"/>
                <w:sz w:val="22"/>
                <w:szCs w:val="20"/>
              </w:rPr>
            </w:pPr>
          </w:p>
        </w:tc>
        <w:tc>
          <w:tcPr>
            <w:tcW w:w="1930" w:type="dxa"/>
            <w:tcBorders>
              <w:top w:val="single" w:color="auto" w:sz="4" w:space="0"/>
              <w:left w:val="single" w:color="auto" w:sz="4" w:space="0"/>
              <w:bottom w:val="single" w:color="auto" w:sz="4" w:space="0"/>
              <w:right w:val="single" w:color="auto" w:sz="4" w:space="0"/>
            </w:tcBorders>
            <w:vAlign w:val="center"/>
          </w:tcPr>
          <w:p w14:paraId="18F608BF">
            <w:pPr>
              <w:kinsoku w:val="0"/>
              <w:overflowPunct w:val="0"/>
              <w:spacing w:before="123" w:after="127" w:line="268" w:lineRule="exact"/>
              <w:ind w:left="96"/>
              <w:jc w:val="center"/>
              <w:textAlignment w:val="baseline"/>
              <w:rPr>
                <w:rFonts w:hint="eastAsia" w:ascii="仿宋_GB2312" w:hAnsi="仿宋_GB2312" w:eastAsia="仿宋_GB2312" w:cs="仿宋_GB2312"/>
                <w:sz w:val="22"/>
                <w:szCs w:val="20"/>
              </w:rPr>
            </w:pPr>
          </w:p>
        </w:tc>
      </w:tr>
      <w:tr w14:paraId="7DFD41A0">
        <w:trPr>
          <w:trHeight w:val="524" w:hRule="exact"/>
          <w:jc w:val="center"/>
        </w:trPr>
        <w:tc>
          <w:tcPr>
            <w:tcW w:w="662" w:type="dxa"/>
            <w:tcBorders>
              <w:top w:val="single" w:color="auto" w:sz="4" w:space="0"/>
              <w:left w:val="single" w:color="auto" w:sz="4" w:space="0"/>
              <w:bottom w:val="single" w:color="auto" w:sz="4" w:space="0"/>
              <w:right w:val="single" w:color="auto" w:sz="4" w:space="0"/>
            </w:tcBorders>
            <w:vAlign w:val="center"/>
          </w:tcPr>
          <w:p w14:paraId="4939CF4C">
            <w:pPr>
              <w:kinsoku w:val="0"/>
              <w:overflowPunct w:val="0"/>
              <w:spacing w:before="145" w:after="138" w:line="235" w:lineRule="exact"/>
              <w:jc w:val="center"/>
              <w:textAlignment w:val="baseline"/>
              <w:rPr>
                <w:rFonts w:hint="eastAsia" w:ascii="仿宋_GB2312" w:hAnsi="仿宋_GB2312" w:eastAsia="仿宋_GB2312" w:cs="仿宋_GB2312"/>
                <w:sz w:val="22"/>
                <w:szCs w:val="20"/>
                <w:lang w:eastAsia="en-US"/>
              </w:rPr>
            </w:pPr>
            <w:r>
              <w:rPr>
                <w:rFonts w:hint="eastAsia" w:ascii="仿宋_GB2312" w:hAnsi="仿宋_GB2312" w:eastAsia="仿宋_GB2312" w:cs="仿宋_GB2312"/>
                <w:sz w:val="22"/>
                <w:szCs w:val="20"/>
                <w:lang w:eastAsia="en-US"/>
              </w:rPr>
              <w:t>8</w:t>
            </w:r>
          </w:p>
        </w:tc>
        <w:tc>
          <w:tcPr>
            <w:tcW w:w="1147" w:type="dxa"/>
            <w:tcBorders>
              <w:top w:val="single" w:color="auto" w:sz="4" w:space="0"/>
              <w:left w:val="single" w:color="auto" w:sz="4" w:space="0"/>
              <w:bottom w:val="single" w:color="auto" w:sz="4" w:space="0"/>
              <w:right w:val="single" w:color="auto" w:sz="4" w:space="0"/>
            </w:tcBorders>
            <w:vAlign w:val="center"/>
          </w:tcPr>
          <w:p w14:paraId="2C27E71E">
            <w:pPr>
              <w:kinsoku w:val="0"/>
              <w:overflowPunct w:val="0"/>
              <w:spacing w:before="123" w:after="127" w:line="268" w:lineRule="exact"/>
              <w:ind w:left="96"/>
              <w:jc w:val="center"/>
              <w:textAlignment w:val="baseline"/>
              <w:rPr>
                <w:rFonts w:hint="eastAsia" w:ascii="仿宋_GB2312" w:hAnsi="仿宋_GB2312" w:eastAsia="仿宋_GB2312" w:cs="仿宋_GB2312"/>
                <w:sz w:val="22"/>
                <w:szCs w:val="20"/>
                <w:lang w:eastAsia="en-US"/>
              </w:rPr>
            </w:pPr>
          </w:p>
        </w:tc>
        <w:tc>
          <w:tcPr>
            <w:tcW w:w="2977" w:type="dxa"/>
            <w:tcBorders>
              <w:top w:val="single" w:color="auto" w:sz="4" w:space="0"/>
              <w:left w:val="single" w:color="auto" w:sz="4" w:space="0"/>
              <w:bottom w:val="single" w:color="auto" w:sz="4" w:space="0"/>
              <w:right w:val="single" w:color="auto" w:sz="4" w:space="0"/>
            </w:tcBorders>
            <w:vAlign w:val="center"/>
          </w:tcPr>
          <w:p w14:paraId="2ACA6EC3">
            <w:pPr>
              <w:kinsoku w:val="0"/>
              <w:overflowPunct w:val="0"/>
              <w:spacing w:before="123" w:after="127" w:line="268" w:lineRule="exact"/>
              <w:ind w:left="96"/>
              <w:jc w:val="center"/>
              <w:textAlignment w:val="baseline"/>
              <w:rPr>
                <w:rFonts w:hint="eastAsia" w:ascii="仿宋_GB2312" w:hAnsi="仿宋_GB2312" w:eastAsia="仿宋_GB2312" w:cs="仿宋_GB2312"/>
                <w:sz w:val="22"/>
                <w:szCs w:val="20"/>
              </w:rPr>
            </w:pPr>
          </w:p>
        </w:tc>
        <w:tc>
          <w:tcPr>
            <w:tcW w:w="2126" w:type="dxa"/>
            <w:tcBorders>
              <w:top w:val="single" w:color="auto" w:sz="4" w:space="0"/>
              <w:left w:val="single" w:color="auto" w:sz="4" w:space="0"/>
              <w:bottom w:val="single" w:color="auto" w:sz="4" w:space="0"/>
              <w:right w:val="single" w:color="auto" w:sz="4" w:space="0"/>
            </w:tcBorders>
            <w:vAlign w:val="center"/>
          </w:tcPr>
          <w:p w14:paraId="643E7073">
            <w:pPr>
              <w:kinsoku w:val="0"/>
              <w:overflowPunct w:val="0"/>
              <w:spacing w:before="123" w:after="127" w:line="268" w:lineRule="exact"/>
              <w:ind w:left="96"/>
              <w:jc w:val="center"/>
              <w:textAlignment w:val="baseline"/>
              <w:rPr>
                <w:rFonts w:hint="eastAsia" w:ascii="仿宋_GB2312" w:hAnsi="仿宋_GB2312" w:eastAsia="仿宋_GB2312" w:cs="仿宋_GB2312"/>
                <w:sz w:val="22"/>
                <w:szCs w:val="20"/>
              </w:rPr>
            </w:pPr>
          </w:p>
        </w:tc>
        <w:tc>
          <w:tcPr>
            <w:tcW w:w="1930" w:type="dxa"/>
            <w:tcBorders>
              <w:top w:val="single" w:color="auto" w:sz="4" w:space="0"/>
              <w:left w:val="single" w:color="auto" w:sz="4" w:space="0"/>
              <w:bottom w:val="single" w:color="auto" w:sz="4" w:space="0"/>
              <w:right w:val="single" w:color="auto" w:sz="4" w:space="0"/>
            </w:tcBorders>
            <w:vAlign w:val="center"/>
          </w:tcPr>
          <w:p w14:paraId="21A19F25">
            <w:pPr>
              <w:kinsoku w:val="0"/>
              <w:overflowPunct w:val="0"/>
              <w:spacing w:before="123" w:after="127" w:line="268" w:lineRule="exact"/>
              <w:ind w:left="96"/>
              <w:jc w:val="center"/>
              <w:textAlignment w:val="baseline"/>
              <w:rPr>
                <w:rFonts w:hint="eastAsia" w:ascii="仿宋_GB2312" w:hAnsi="仿宋_GB2312" w:eastAsia="仿宋_GB2312" w:cs="仿宋_GB2312"/>
                <w:sz w:val="22"/>
                <w:szCs w:val="20"/>
              </w:rPr>
            </w:pPr>
          </w:p>
        </w:tc>
      </w:tr>
      <w:tr w14:paraId="6B725DE2">
        <w:trPr>
          <w:trHeight w:val="524" w:hRule="exact"/>
          <w:jc w:val="center"/>
        </w:trPr>
        <w:tc>
          <w:tcPr>
            <w:tcW w:w="662" w:type="dxa"/>
            <w:tcBorders>
              <w:top w:val="single" w:color="auto" w:sz="4" w:space="0"/>
              <w:left w:val="single" w:color="auto" w:sz="4" w:space="0"/>
              <w:bottom w:val="single" w:color="auto" w:sz="4" w:space="0"/>
              <w:right w:val="single" w:color="auto" w:sz="4" w:space="0"/>
            </w:tcBorders>
            <w:vAlign w:val="center"/>
          </w:tcPr>
          <w:p w14:paraId="0EF4140E">
            <w:pPr>
              <w:kinsoku w:val="0"/>
              <w:overflowPunct w:val="0"/>
              <w:spacing w:before="140" w:after="138" w:line="235" w:lineRule="exact"/>
              <w:jc w:val="center"/>
              <w:textAlignment w:val="baseline"/>
              <w:rPr>
                <w:rFonts w:hint="eastAsia" w:ascii="仿宋_GB2312" w:hAnsi="仿宋_GB2312" w:eastAsia="仿宋_GB2312" w:cs="仿宋_GB2312"/>
                <w:sz w:val="22"/>
                <w:szCs w:val="20"/>
                <w:lang w:eastAsia="en-US"/>
              </w:rPr>
            </w:pPr>
            <w:r>
              <w:rPr>
                <w:rFonts w:hint="eastAsia" w:ascii="仿宋_GB2312" w:hAnsi="仿宋_GB2312" w:eastAsia="仿宋_GB2312" w:cs="仿宋_GB2312"/>
                <w:sz w:val="22"/>
                <w:szCs w:val="20"/>
                <w:lang w:eastAsia="en-US"/>
              </w:rPr>
              <w:t>9</w:t>
            </w:r>
          </w:p>
        </w:tc>
        <w:tc>
          <w:tcPr>
            <w:tcW w:w="1147" w:type="dxa"/>
            <w:tcBorders>
              <w:top w:val="single" w:color="auto" w:sz="4" w:space="0"/>
              <w:left w:val="single" w:color="auto" w:sz="4" w:space="0"/>
              <w:bottom w:val="single" w:color="auto" w:sz="4" w:space="0"/>
              <w:right w:val="single" w:color="auto" w:sz="4" w:space="0"/>
            </w:tcBorders>
            <w:vAlign w:val="center"/>
          </w:tcPr>
          <w:p w14:paraId="5B193780">
            <w:pPr>
              <w:kinsoku w:val="0"/>
              <w:overflowPunct w:val="0"/>
              <w:spacing w:before="123" w:after="127" w:line="268" w:lineRule="exact"/>
              <w:ind w:left="96"/>
              <w:jc w:val="center"/>
              <w:textAlignment w:val="baseline"/>
              <w:rPr>
                <w:rFonts w:hint="eastAsia" w:ascii="仿宋_GB2312" w:hAnsi="仿宋_GB2312" w:eastAsia="仿宋_GB2312" w:cs="仿宋_GB2312"/>
                <w:sz w:val="22"/>
                <w:szCs w:val="20"/>
                <w:lang w:eastAsia="en-US"/>
              </w:rPr>
            </w:pPr>
          </w:p>
        </w:tc>
        <w:tc>
          <w:tcPr>
            <w:tcW w:w="2977" w:type="dxa"/>
            <w:tcBorders>
              <w:top w:val="single" w:color="auto" w:sz="4" w:space="0"/>
              <w:left w:val="single" w:color="auto" w:sz="4" w:space="0"/>
              <w:bottom w:val="single" w:color="auto" w:sz="4" w:space="0"/>
              <w:right w:val="single" w:color="auto" w:sz="4" w:space="0"/>
            </w:tcBorders>
            <w:vAlign w:val="center"/>
          </w:tcPr>
          <w:p w14:paraId="48A640A6">
            <w:pPr>
              <w:kinsoku w:val="0"/>
              <w:overflowPunct w:val="0"/>
              <w:spacing w:before="123" w:after="127" w:line="268" w:lineRule="exact"/>
              <w:ind w:left="96"/>
              <w:jc w:val="center"/>
              <w:textAlignment w:val="baseline"/>
              <w:rPr>
                <w:rFonts w:hint="eastAsia" w:ascii="仿宋_GB2312" w:hAnsi="仿宋_GB2312" w:eastAsia="仿宋_GB2312" w:cs="仿宋_GB2312"/>
                <w:sz w:val="22"/>
                <w:szCs w:val="20"/>
              </w:rPr>
            </w:pPr>
          </w:p>
        </w:tc>
        <w:tc>
          <w:tcPr>
            <w:tcW w:w="2126" w:type="dxa"/>
            <w:tcBorders>
              <w:top w:val="single" w:color="auto" w:sz="4" w:space="0"/>
              <w:left w:val="single" w:color="auto" w:sz="4" w:space="0"/>
              <w:bottom w:val="single" w:color="auto" w:sz="4" w:space="0"/>
              <w:right w:val="single" w:color="auto" w:sz="4" w:space="0"/>
            </w:tcBorders>
            <w:vAlign w:val="center"/>
          </w:tcPr>
          <w:p w14:paraId="1400BF97">
            <w:pPr>
              <w:kinsoku w:val="0"/>
              <w:overflowPunct w:val="0"/>
              <w:spacing w:before="123" w:after="127" w:line="268" w:lineRule="exact"/>
              <w:ind w:left="96"/>
              <w:jc w:val="center"/>
              <w:textAlignment w:val="baseline"/>
              <w:rPr>
                <w:rFonts w:hint="eastAsia" w:ascii="仿宋_GB2312" w:hAnsi="仿宋_GB2312" w:eastAsia="仿宋_GB2312" w:cs="仿宋_GB2312"/>
                <w:sz w:val="22"/>
                <w:szCs w:val="20"/>
              </w:rPr>
            </w:pPr>
          </w:p>
        </w:tc>
        <w:tc>
          <w:tcPr>
            <w:tcW w:w="1930" w:type="dxa"/>
            <w:tcBorders>
              <w:top w:val="single" w:color="auto" w:sz="4" w:space="0"/>
              <w:left w:val="single" w:color="auto" w:sz="4" w:space="0"/>
              <w:bottom w:val="single" w:color="auto" w:sz="4" w:space="0"/>
              <w:right w:val="single" w:color="auto" w:sz="4" w:space="0"/>
            </w:tcBorders>
            <w:vAlign w:val="center"/>
          </w:tcPr>
          <w:p w14:paraId="4AFD454E">
            <w:pPr>
              <w:kinsoku w:val="0"/>
              <w:overflowPunct w:val="0"/>
              <w:spacing w:before="123" w:after="127" w:line="268" w:lineRule="exact"/>
              <w:ind w:left="96"/>
              <w:jc w:val="center"/>
              <w:textAlignment w:val="baseline"/>
              <w:rPr>
                <w:rFonts w:hint="eastAsia" w:ascii="仿宋_GB2312" w:hAnsi="仿宋_GB2312" w:eastAsia="仿宋_GB2312" w:cs="仿宋_GB2312"/>
                <w:sz w:val="22"/>
                <w:szCs w:val="20"/>
              </w:rPr>
            </w:pPr>
          </w:p>
        </w:tc>
      </w:tr>
      <w:tr w14:paraId="153C4134">
        <w:trPr>
          <w:trHeight w:val="524" w:hRule="exact"/>
          <w:jc w:val="center"/>
        </w:trPr>
        <w:tc>
          <w:tcPr>
            <w:tcW w:w="662" w:type="dxa"/>
            <w:tcBorders>
              <w:top w:val="single" w:color="auto" w:sz="4" w:space="0"/>
              <w:left w:val="single" w:color="auto" w:sz="4" w:space="0"/>
              <w:bottom w:val="single" w:color="auto" w:sz="4" w:space="0"/>
              <w:right w:val="single" w:color="auto" w:sz="4" w:space="0"/>
            </w:tcBorders>
            <w:vAlign w:val="center"/>
          </w:tcPr>
          <w:p w14:paraId="6EBFC136">
            <w:pPr>
              <w:kinsoku w:val="0"/>
              <w:overflowPunct w:val="0"/>
              <w:spacing w:before="141" w:after="147" w:line="235" w:lineRule="exact"/>
              <w:jc w:val="center"/>
              <w:textAlignment w:val="baseline"/>
              <w:rPr>
                <w:rFonts w:hint="eastAsia" w:ascii="仿宋_GB2312" w:hAnsi="仿宋_GB2312" w:eastAsia="仿宋_GB2312" w:cs="仿宋_GB2312"/>
                <w:sz w:val="22"/>
                <w:szCs w:val="20"/>
                <w:lang w:eastAsia="en-US"/>
              </w:rPr>
            </w:pPr>
            <w:r>
              <w:rPr>
                <w:rFonts w:hint="eastAsia" w:ascii="仿宋_GB2312" w:hAnsi="仿宋_GB2312" w:eastAsia="仿宋_GB2312" w:cs="仿宋_GB2312"/>
                <w:sz w:val="22"/>
                <w:szCs w:val="20"/>
                <w:lang w:eastAsia="en-US"/>
              </w:rPr>
              <w:t>10</w:t>
            </w:r>
          </w:p>
        </w:tc>
        <w:tc>
          <w:tcPr>
            <w:tcW w:w="1147" w:type="dxa"/>
            <w:tcBorders>
              <w:top w:val="single" w:color="auto" w:sz="4" w:space="0"/>
              <w:left w:val="single" w:color="auto" w:sz="4" w:space="0"/>
              <w:bottom w:val="single" w:color="auto" w:sz="4" w:space="0"/>
              <w:right w:val="single" w:color="auto" w:sz="4" w:space="0"/>
            </w:tcBorders>
            <w:vAlign w:val="center"/>
          </w:tcPr>
          <w:p w14:paraId="23B94984">
            <w:pPr>
              <w:kinsoku w:val="0"/>
              <w:overflowPunct w:val="0"/>
              <w:spacing w:before="123" w:after="127" w:line="268" w:lineRule="exact"/>
              <w:ind w:left="96"/>
              <w:jc w:val="center"/>
              <w:textAlignment w:val="baseline"/>
              <w:rPr>
                <w:rFonts w:hint="eastAsia" w:ascii="仿宋_GB2312" w:hAnsi="仿宋_GB2312" w:eastAsia="仿宋_GB2312" w:cs="仿宋_GB2312"/>
                <w:sz w:val="22"/>
                <w:szCs w:val="20"/>
                <w:lang w:eastAsia="en-US"/>
              </w:rPr>
            </w:pPr>
          </w:p>
        </w:tc>
        <w:tc>
          <w:tcPr>
            <w:tcW w:w="2977" w:type="dxa"/>
            <w:tcBorders>
              <w:top w:val="single" w:color="auto" w:sz="4" w:space="0"/>
              <w:left w:val="single" w:color="auto" w:sz="4" w:space="0"/>
              <w:bottom w:val="single" w:color="auto" w:sz="4" w:space="0"/>
              <w:right w:val="single" w:color="auto" w:sz="4" w:space="0"/>
            </w:tcBorders>
            <w:vAlign w:val="center"/>
          </w:tcPr>
          <w:p w14:paraId="37F56281">
            <w:pPr>
              <w:kinsoku w:val="0"/>
              <w:overflowPunct w:val="0"/>
              <w:spacing w:before="123" w:after="127" w:line="268" w:lineRule="exact"/>
              <w:ind w:left="96"/>
              <w:jc w:val="center"/>
              <w:textAlignment w:val="baseline"/>
              <w:rPr>
                <w:rFonts w:hint="eastAsia" w:ascii="仿宋_GB2312" w:hAnsi="仿宋_GB2312" w:eastAsia="仿宋_GB2312" w:cs="仿宋_GB2312"/>
                <w:sz w:val="22"/>
                <w:szCs w:val="20"/>
              </w:rPr>
            </w:pPr>
          </w:p>
        </w:tc>
        <w:tc>
          <w:tcPr>
            <w:tcW w:w="2126" w:type="dxa"/>
            <w:tcBorders>
              <w:top w:val="single" w:color="auto" w:sz="4" w:space="0"/>
              <w:left w:val="single" w:color="auto" w:sz="4" w:space="0"/>
              <w:bottom w:val="single" w:color="auto" w:sz="4" w:space="0"/>
              <w:right w:val="single" w:color="auto" w:sz="4" w:space="0"/>
            </w:tcBorders>
            <w:vAlign w:val="center"/>
          </w:tcPr>
          <w:p w14:paraId="129FF799">
            <w:pPr>
              <w:kinsoku w:val="0"/>
              <w:overflowPunct w:val="0"/>
              <w:spacing w:before="123" w:after="127" w:line="268" w:lineRule="exact"/>
              <w:ind w:left="96"/>
              <w:jc w:val="center"/>
              <w:textAlignment w:val="baseline"/>
              <w:rPr>
                <w:rFonts w:hint="eastAsia" w:ascii="仿宋_GB2312" w:hAnsi="仿宋_GB2312" w:eastAsia="仿宋_GB2312" w:cs="仿宋_GB2312"/>
                <w:sz w:val="22"/>
                <w:szCs w:val="20"/>
              </w:rPr>
            </w:pPr>
          </w:p>
        </w:tc>
        <w:tc>
          <w:tcPr>
            <w:tcW w:w="1930" w:type="dxa"/>
            <w:tcBorders>
              <w:top w:val="single" w:color="auto" w:sz="4" w:space="0"/>
              <w:left w:val="single" w:color="auto" w:sz="4" w:space="0"/>
              <w:bottom w:val="single" w:color="auto" w:sz="4" w:space="0"/>
              <w:right w:val="single" w:color="auto" w:sz="4" w:space="0"/>
            </w:tcBorders>
            <w:vAlign w:val="center"/>
          </w:tcPr>
          <w:p w14:paraId="7F2521AF">
            <w:pPr>
              <w:kinsoku w:val="0"/>
              <w:overflowPunct w:val="0"/>
              <w:spacing w:before="123" w:after="127" w:line="268" w:lineRule="exact"/>
              <w:ind w:left="96"/>
              <w:jc w:val="center"/>
              <w:textAlignment w:val="baseline"/>
              <w:rPr>
                <w:rFonts w:hint="eastAsia" w:ascii="仿宋_GB2312" w:hAnsi="仿宋_GB2312" w:eastAsia="仿宋_GB2312" w:cs="仿宋_GB2312"/>
                <w:sz w:val="22"/>
                <w:szCs w:val="20"/>
              </w:rPr>
            </w:pPr>
          </w:p>
        </w:tc>
      </w:tr>
    </w:tbl>
    <w:p w14:paraId="056EB3DB">
      <w:pPr>
        <w:rPr>
          <w:rFonts w:hint="eastAsia" w:ascii="仿宋_GB2312" w:hAnsi="仿宋_GB2312" w:eastAsia="仿宋_GB2312" w:cs="仿宋_GB2312"/>
          <w:sz w:val="28"/>
          <w:szCs w:val="28"/>
        </w:rPr>
      </w:pPr>
    </w:p>
    <w:p w14:paraId="0736E8D7">
      <w:pPr>
        <w:spacing w:line="360" w:lineRule="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                                               承诺人：</w:t>
      </w:r>
    </w:p>
    <w:p w14:paraId="1ED76706">
      <w:pPr>
        <w:spacing w:line="360" w:lineRule="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28"/>
          <w:szCs w:val="28"/>
        </w:rPr>
        <w:t xml:space="preserve">                                           </w:t>
      </w:r>
      <w:r>
        <w:rPr>
          <w:rFonts w:hint="eastAsia" w:ascii="仿宋_GB2312" w:hAnsi="仿宋_GB2312" w:eastAsia="仿宋_GB2312" w:cs="仿宋_GB2312"/>
          <w:sz w:val="28"/>
          <w:szCs w:val="28"/>
          <w:lang w:val="en-US" w:eastAsia="zh-CN"/>
        </w:rPr>
        <w:t xml:space="preserve">   </w:t>
      </w:r>
      <w:r>
        <w:rPr>
          <w:rFonts w:hint="eastAsia" w:ascii="仿宋_GB2312" w:hAnsi="仿宋_GB2312" w:eastAsia="仿宋_GB2312" w:cs="仿宋_GB2312"/>
          <w:sz w:val="28"/>
          <w:szCs w:val="28"/>
        </w:rPr>
        <w:t xml:space="preserve"> 时</w:t>
      </w:r>
      <w:r>
        <w:rPr>
          <w:rFonts w:hint="eastAsia" w:ascii="仿宋_GB2312" w:hAnsi="仿宋_GB2312" w:eastAsia="仿宋_GB2312" w:cs="仿宋_GB2312"/>
          <w:sz w:val="28"/>
          <w:szCs w:val="28"/>
          <w:lang w:val="en-US" w:eastAsia="zh-CN"/>
        </w:rPr>
        <w:t xml:space="preserve">  </w:t>
      </w:r>
      <w:r>
        <w:rPr>
          <w:rFonts w:hint="eastAsia" w:ascii="仿宋_GB2312" w:hAnsi="仿宋_GB2312" w:eastAsia="仿宋_GB2312" w:cs="仿宋_GB2312"/>
          <w:sz w:val="28"/>
          <w:szCs w:val="28"/>
        </w:rPr>
        <w:t>间</w:t>
      </w:r>
      <w:r>
        <w:rPr>
          <w:rFonts w:hint="eastAsia" w:ascii="仿宋_GB2312" w:hAnsi="仿宋_GB2312" w:eastAsia="仿宋_GB2312" w:cs="仿宋_GB2312"/>
          <w:sz w:val="28"/>
          <w:szCs w:val="28"/>
          <w:lang w:eastAsia="zh-CN"/>
        </w:rPr>
        <w:t>：</w:t>
      </w:r>
    </w:p>
    <w:sectPr>
      <w:pgSz w:w="11906" w:h="16838"/>
      <w:pgMar w:top="2098" w:right="1474" w:bottom="1984" w:left="1587"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503050405090304"/>
    <w:charset w:val="86"/>
    <w:family w:val="auto"/>
    <w:pitch w:val="default"/>
    <w:sig w:usb0="E0000AFF" w:usb1="00007843" w:usb2="00000001" w:usb3="00000000" w:csb0="400001BF" w:csb1="DFF70000"/>
    <w:embedRegular r:id="rId1" w:fontKey="{4618CFCB-2397-8CB8-00F0-A86AE8E52EB7}"/>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embedRegular r:id="rId2" w:fontKey="{71518742-15A5-D0E6-00F0-A86AB701F432}"/>
  </w:font>
  <w:font w:name="Microsoft JhengHei">
    <w:altName w:val="汉仪中简黑简"/>
    <w:panose1 w:val="020B0604030504040204"/>
    <w:charset w:val="88"/>
    <w:family w:val="swiss"/>
    <w:pitch w:val="default"/>
    <w:sig w:usb0="00000000" w:usb1="00000000" w:usb2="00000016" w:usb3="00000000" w:csb0="00100009" w:csb1="00000000"/>
  </w:font>
  <w:font w:name="仿宋">
    <w:altName w:val="方正仿宋_GBK"/>
    <w:panose1 w:val="02010609060101010101"/>
    <w:charset w:val="86"/>
    <w:family w:val="modern"/>
    <w:pitch w:val="default"/>
    <w:sig w:usb0="00000000" w:usb1="00000000" w:usb2="00000016" w:usb3="00000000" w:csb0="00040001" w:csb1="00000000"/>
  </w:font>
  <w:font w:name="方正小标宋简体">
    <w:panose1 w:val="02000000000000000000"/>
    <w:charset w:val="86"/>
    <w:family w:val="auto"/>
    <w:pitch w:val="default"/>
    <w:sig w:usb0="00000001" w:usb1="08000000" w:usb2="00000000" w:usb3="00000000" w:csb0="00040000" w:csb1="00000000"/>
    <w:embedRegular r:id="rId3" w:fontKey="{BC04E8C4-37C3-6500-00F0-A86A709DA68B}"/>
  </w:font>
  <w:font w:name="仿宋_GB2312">
    <w:panose1 w:val="02010609030101010101"/>
    <w:charset w:val="86"/>
    <w:family w:val="auto"/>
    <w:pitch w:val="default"/>
    <w:sig w:usb0="00000001" w:usb1="080E0000" w:usb2="00000000" w:usb3="00000000" w:csb0="00040000" w:csb1="00000000"/>
    <w:embedRegular r:id="rId4" w:fontKey="{29EB6C1E-5789-FE44-00F0-A86AA296A249}"/>
  </w:font>
  <w:font w:name="方正仿宋_GB2312">
    <w:panose1 w:val="02000000000000000000"/>
    <w:charset w:val="86"/>
    <w:family w:val="auto"/>
    <w:pitch w:val="default"/>
    <w:sig w:usb0="A00002BF" w:usb1="184F6CFA" w:usb2="00000012" w:usb3="00000000" w:csb0="00040001" w:csb1="00000000"/>
  </w:font>
  <w:font w:name="方正小标宋_GBK">
    <w:altName w:val="汉仪书宋二KW"/>
    <w:panose1 w:val="00000000000000000000"/>
    <w:charset w:val="86"/>
    <w:family w:val="auto"/>
    <w:pitch w:val="default"/>
    <w:sig w:usb0="00000000" w:usb1="00000000" w:usb2="00000000" w:usb3="00000000" w:csb0="00040000" w:csb1="00000000"/>
    <w:embedRegular r:id="rId5" w:fontKey="{1F2156B9-26FD-FFC7-00F0-A86A7DD80ADE}"/>
  </w:font>
  <w:font w:name="微软雅黑">
    <w:altName w:val="方正雅意黑 GB18030L2"/>
    <w:panose1 w:val="020B0503020204020204"/>
    <w:charset w:val="86"/>
    <w:family w:val="auto"/>
    <w:pitch w:val="default"/>
    <w:sig w:usb0="00000000" w:usb1="00000000" w:usb2="00000016" w:usb3="00000000" w:csb0="0004001F" w:csb1="00000000"/>
  </w:font>
  <w:font w:name="楷体_GB2312">
    <w:altName w:val="汉仪楷体简"/>
    <w:panose1 w:val="02010609030101010101"/>
    <w:charset w:val="86"/>
    <w:family w:val="modern"/>
    <w:pitch w:val="default"/>
    <w:sig w:usb0="00000000" w:usb1="00000000" w:usb2="00000000" w:usb3="00000000" w:csb0="00040000" w:csb1="00000000"/>
  </w:font>
  <w:font w:name="等线">
    <w:altName w:val="汉仪中等线KW"/>
    <w:panose1 w:val="02010600030101010101"/>
    <w:charset w:val="86"/>
    <w:family w:val="auto"/>
    <w:pitch w:val="default"/>
    <w:sig w:usb0="00000000" w:usb1="00000000" w:usb2="00000016" w:usb3="00000000" w:csb0="0004000F" w:csb1="00000000"/>
  </w:font>
  <w:font w:name="汉仪书宋二KW">
    <w:panose1 w:val="00020600040101010101"/>
    <w:charset w:val="86"/>
    <w:family w:val="auto"/>
    <w:pitch w:val="default"/>
    <w:sig w:usb0="A00002BF" w:usb1="18EF7CFA" w:usb2="00000016" w:usb3="00000000" w:csb0="00040000" w:csb1="00000000"/>
  </w:font>
  <w:font w:name="方正仿宋_GBK">
    <w:panose1 w:val="02000000000000000000"/>
    <w:charset w:val="86"/>
    <w:family w:val="auto"/>
    <w:pitch w:val="default"/>
    <w:sig w:usb0="A00002BF" w:usb1="38CF7CFA" w:usb2="00082016" w:usb3="00000000" w:csb0="00040001" w:csb1="00000000"/>
  </w:font>
  <w:font w:name="宋体-简">
    <w:panose1 w:val="02010800040101010101"/>
    <w:charset w:val="86"/>
    <w:family w:val="auto"/>
    <w:pitch w:val="default"/>
    <w:sig w:usb0="00000001" w:usb1="080F0000" w:usb2="00000000" w:usb3="00000000" w:csb0="0004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 w:name="Helvetica Neue">
    <w:panose1 w:val="02000503000000020004"/>
    <w:charset w:val="00"/>
    <w:family w:val="auto"/>
    <w:pitch w:val="default"/>
    <w:sig w:usb0="E50002FF" w:usb1="500079DB" w:usb2="00000010" w:usb3="00000000" w:csb0="00000000" w:csb1="00000000"/>
  </w:font>
  <w:font w:name="汉仪中简黑简">
    <w:panose1 w:val="00020600040101010101"/>
    <w:charset w:val="86"/>
    <w:family w:val="auto"/>
    <w:pitch w:val="default"/>
    <w:sig w:usb0="A00002BF" w:usb1="18EF7CFA" w:usb2="00000016" w:usb3="00000000" w:csb0="00040000" w:csb1="00000000"/>
  </w:font>
  <w:font w:name="方正雅意黑 GB18030L2">
    <w:panose1 w:val="02000500000000000000"/>
    <w:charset w:val="86"/>
    <w:family w:val="auto"/>
    <w:pitch w:val="default"/>
    <w:sig w:usb0="E00002FF" w:usb1="38CFFCFB" w:usb2="00000016" w:usb3="00000000" w:csb0="6004019F" w:csb1="DFD70000"/>
  </w:font>
  <w:font w:name="汉仪楷体简">
    <w:panose1 w:val="02010600000101010101"/>
    <w:charset w:val="86"/>
    <w:family w:val="auto"/>
    <w:pitch w:val="default"/>
    <w:sig w:usb0="00000001" w:usb1="080E0800" w:usb2="00000002" w:usb3="00000000" w:csb0="00040000" w:csb1="00000000"/>
  </w:font>
  <w:font w:name="汉仪中等线KW">
    <w:panose1 w:val="01010104010101010101"/>
    <w:charset w:val="86"/>
    <w:family w:val="auto"/>
    <w:pitch w:val="default"/>
    <w:sig w:usb0="800002BF" w:usb1="004F7CFA"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241CC5">
    <w:pPr>
      <w:pStyle w:val="4"/>
      <w:spacing w:line="14" w:lineRule="auto"/>
      <w:rPr>
        <w:rFonts w:hint="eastAsia"/>
        <w:sz w:val="1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1F60C4">
    <w:pPr>
      <w:pStyle w:val="4"/>
      <w:spacing w:line="14" w:lineRule="auto"/>
      <w:rPr>
        <w:rFonts w:hint="eastAsia"/>
        <w:sz w:val="2"/>
      </w:rP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8615D44"/>
    <w:multiLevelType w:val="singleLevel"/>
    <w:tmpl w:val="C8615D44"/>
    <w:lvl w:ilvl="0" w:tentative="0">
      <w:start w:val="1"/>
      <w:numFmt w:val="bullet"/>
      <w:lvlText w:val=""/>
      <w:lvlJc w:val="left"/>
      <w:pPr>
        <w:ind w:left="420" w:hanging="420"/>
      </w:pPr>
      <w:rPr>
        <w:rFonts w:hint="default" w:ascii="Wingdings" w:hAnsi="Wingdings"/>
      </w:rPr>
    </w:lvl>
  </w:abstractNum>
  <w:abstractNum w:abstractNumId="1">
    <w:nsid w:val="F2ACCEFA"/>
    <w:multiLevelType w:val="singleLevel"/>
    <w:tmpl w:val="F2ACCEFA"/>
    <w:lvl w:ilvl="0" w:tentative="0">
      <w:start w:val="1"/>
      <w:numFmt w:val="bullet"/>
      <w:lvlText w:val=""/>
      <w:lvlJc w:val="left"/>
      <w:pPr>
        <w:tabs>
          <w:tab w:val="left" w:pos="420"/>
        </w:tabs>
        <w:ind w:left="840" w:hanging="420"/>
      </w:pPr>
      <w:rPr>
        <w:rFonts w:hint="default" w:ascii="Wingdings" w:hAnsi="Wingdings"/>
      </w:rPr>
    </w:lvl>
  </w:abstractNum>
  <w:abstractNum w:abstractNumId="2">
    <w:nsid w:val="199DF723"/>
    <w:multiLevelType w:val="multilevel"/>
    <w:tmpl w:val="199DF723"/>
    <w:lvl w:ilvl="0" w:tentative="0">
      <w:start w:val="1"/>
      <w:numFmt w:val="decimal"/>
      <w:lvlText w:val="%1."/>
      <w:lvlJc w:val="left"/>
      <w:pPr>
        <w:ind w:left="425" w:hanging="425"/>
      </w:pPr>
      <w:rPr>
        <w:rFonts w:hint="default"/>
      </w:rPr>
    </w:lvl>
    <w:lvl w:ilvl="1" w:tentative="0">
      <w:start w:val="1"/>
      <w:numFmt w:val="decimal"/>
      <w:lvlText w:val="%1.%2."/>
      <w:lvlJc w:val="left"/>
      <w:pPr>
        <w:ind w:left="567" w:hanging="567"/>
      </w:pPr>
      <w:rPr>
        <w:rFonts w:hint="default"/>
      </w:rPr>
    </w:lvl>
    <w:lvl w:ilvl="2" w:tentative="0">
      <w:start w:val="1"/>
      <w:numFmt w:val="decimal"/>
      <w:lvlText w:val="%1.%2.%3."/>
      <w:lvlJc w:val="left"/>
      <w:pPr>
        <w:ind w:left="709" w:hanging="709"/>
      </w:pPr>
      <w:rPr>
        <w:rFonts w:hint="default"/>
      </w:rPr>
    </w:lvl>
    <w:lvl w:ilvl="3" w:tentative="0">
      <w:start w:val="1"/>
      <w:numFmt w:val="decimal"/>
      <w:lvlText w:val="%1.%2.%3.%4."/>
      <w:lvlJc w:val="left"/>
      <w:pPr>
        <w:ind w:left="850" w:hanging="850"/>
      </w:pPr>
      <w:rPr>
        <w:rFonts w:hint="default"/>
      </w:rPr>
    </w:lvl>
    <w:lvl w:ilvl="4" w:tentative="0">
      <w:start w:val="1"/>
      <w:numFmt w:val="decimal"/>
      <w:lvlText w:val="%1.%2.%3.%4.%5."/>
      <w:lvlJc w:val="left"/>
      <w:pPr>
        <w:ind w:left="991" w:hanging="991"/>
      </w:pPr>
      <w:rPr>
        <w:rFonts w:hint="default"/>
      </w:rPr>
    </w:lvl>
    <w:lvl w:ilvl="5" w:tentative="0">
      <w:start w:val="1"/>
      <w:numFmt w:val="decimal"/>
      <w:lvlText w:val="%1.%2.%3.%4.%5.%6."/>
      <w:lvlJc w:val="left"/>
      <w:pPr>
        <w:ind w:left="1134" w:hanging="1134"/>
      </w:pPr>
      <w:rPr>
        <w:rFonts w:hint="default"/>
      </w:rPr>
    </w:lvl>
    <w:lvl w:ilvl="6" w:tentative="0">
      <w:start w:val="1"/>
      <w:numFmt w:val="decimal"/>
      <w:lvlText w:val="%1.%2.%3.%4.%5.%6.%7."/>
      <w:lvlJc w:val="left"/>
      <w:pPr>
        <w:ind w:left="1275" w:hanging="1275"/>
      </w:pPr>
      <w:rPr>
        <w:rFonts w:hint="default"/>
      </w:rPr>
    </w:lvl>
    <w:lvl w:ilvl="7" w:tentative="0">
      <w:start w:val="1"/>
      <w:numFmt w:val="decimal"/>
      <w:lvlText w:val="%1.%2.%3.%4.%5.%6.%7.%8."/>
      <w:lvlJc w:val="left"/>
      <w:pPr>
        <w:ind w:left="1418" w:hanging="1418"/>
      </w:pPr>
      <w:rPr>
        <w:rFonts w:hint="default"/>
      </w:rPr>
    </w:lvl>
    <w:lvl w:ilvl="8" w:tentative="0">
      <w:start w:val="1"/>
      <w:numFmt w:val="decimal"/>
      <w:lvlText w:val="%1.%2.%3.%4.%5.%6.%7.%8.%9."/>
      <w:lvlJc w:val="left"/>
      <w:pPr>
        <w:ind w:left="1558" w:hanging="1558"/>
      </w:pPr>
      <w:rPr>
        <w:rFonts w:hint="default"/>
      </w:rPr>
    </w:lvl>
  </w:abstractNum>
  <w:abstractNum w:abstractNumId="3">
    <w:nsid w:val="51ADE84F"/>
    <w:multiLevelType w:val="singleLevel"/>
    <w:tmpl w:val="51ADE84F"/>
    <w:lvl w:ilvl="0" w:tentative="0">
      <w:start w:val="2"/>
      <w:numFmt w:val="chineseCounting"/>
      <w:suff w:val="nothing"/>
      <w:lvlText w:val="%1、"/>
      <w:lvlJc w:val="left"/>
      <w:rPr>
        <w:rFonts w:hint="eastAsia"/>
      </w:rPr>
    </w:lvl>
  </w:abstractNum>
  <w:abstractNum w:abstractNumId="4">
    <w:nsid w:val="629FE03A"/>
    <w:multiLevelType w:val="multilevel"/>
    <w:tmpl w:val="629FE03A"/>
    <w:lvl w:ilvl="0" w:tentative="0">
      <w:start w:val="1"/>
      <w:numFmt w:val="decimal"/>
      <w:lvlText w:val="%1."/>
      <w:lvlJc w:val="left"/>
      <w:pPr>
        <w:ind w:left="425" w:hanging="425"/>
      </w:pPr>
      <w:rPr>
        <w:rFonts w:hint="default"/>
      </w:rPr>
    </w:lvl>
    <w:lvl w:ilvl="1" w:tentative="0">
      <w:start w:val="1"/>
      <w:numFmt w:val="decimal"/>
      <w:lvlText w:val="%1.%2."/>
      <w:lvlJc w:val="left"/>
      <w:pPr>
        <w:ind w:left="567" w:hanging="567"/>
      </w:pPr>
      <w:rPr>
        <w:rFonts w:hint="default"/>
      </w:rPr>
    </w:lvl>
    <w:lvl w:ilvl="2" w:tentative="0">
      <w:start w:val="1"/>
      <w:numFmt w:val="decimal"/>
      <w:lvlText w:val="%1.%2.%3."/>
      <w:lvlJc w:val="left"/>
      <w:pPr>
        <w:ind w:left="709" w:hanging="709"/>
      </w:pPr>
      <w:rPr>
        <w:rFonts w:hint="default"/>
      </w:rPr>
    </w:lvl>
    <w:lvl w:ilvl="3" w:tentative="0">
      <w:start w:val="1"/>
      <w:numFmt w:val="decimal"/>
      <w:lvlText w:val="%1.%2.%3.%4."/>
      <w:lvlJc w:val="left"/>
      <w:pPr>
        <w:ind w:left="850" w:hanging="850"/>
      </w:pPr>
      <w:rPr>
        <w:rFonts w:hint="default"/>
      </w:rPr>
    </w:lvl>
    <w:lvl w:ilvl="4" w:tentative="0">
      <w:start w:val="1"/>
      <w:numFmt w:val="decimal"/>
      <w:lvlText w:val="%1.%2.%3.%4.%5."/>
      <w:lvlJc w:val="left"/>
      <w:pPr>
        <w:ind w:left="991" w:hanging="991"/>
      </w:pPr>
      <w:rPr>
        <w:rFonts w:hint="default"/>
      </w:rPr>
    </w:lvl>
    <w:lvl w:ilvl="5" w:tentative="0">
      <w:start w:val="1"/>
      <w:numFmt w:val="decimal"/>
      <w:lvlText w:val="%1.%2.%3.%4.%5.%6."/>
      <w:lvlJc w:val="left"/>
      <w:pPr>
        <w:ind w:left="1134" w:hanging="1134"/>
      </w:pPr>
      <w:rPr>
        <w:rFonts w:hint="default"/>
      </w:rPr>
    </w:lvl>
    <w:lvl w:ilvl="6" w:tentative="0">
      <w:start w:val="1"/>
      <w:numFmt w:val="decimal"/>
      <w:lvlText w:val="%1.%2.%3.%4.%5.%6.%7."/>
      <w:lvlJc w:val="left"/>
      <w:pPr>
        <w:ind w:left="1275" w:hanging="1275"/>
      </w:pPr>
      <w:rPr>
        <w:rFonts w:hint="default"/>
      </w:rPr>
    </w:lvl>
    <w:lvl w:ilvl="7" w:tentative="0">
      <w:start w:val="1"/>
      <w:numFmt w:val="decimal"/>
      <w:lvlText w:val="%1.%2.%3.%4.%5.%6.%7.%8."/>
      <w:lvlJc w:val="left"/>
      <w:pPr>
        <w:ind w:left="1418" w:hanging="1418"/>
      </w:pPr>
      <w:rPr>
        <w:rFonts w:hint="default"/>
      </w:rPr>
    </w:lvl>
    <w:lvl w:ilvl="8" w:tentative="0">
      <w:start w:val="1"/>
      <w:numFmt w:val="decimal"/>
      <w:lvlText w:val="%1.%2.%3.%4.%5.%6.%7.%8.%9."/>
      <w:lvlJc w:val="left"/>
      <w:pPr>
        <w:ind w:left="1558" w:hanging="1558"/>
      </w:pPr>
      <w:rPr>
        <w:rFonts w:hint="default"/>
      </w:rPr>
    </w:lvl>
  </w:abstractNum>
  <w:num w:numId="1">
    <w:abstractNumId w:val="3"/>
  </w:num>
  <w:num w:numId="2">
    <w:abstractNumId w:val="4"/>
  </w:num>
  <w:num w:numId="3">
    <w:abstractNumId w:val="0"/>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E2YWQ2OWViZmFkNmQwMDA0MzA5MTYxZGZiZWY3ZGMifQ=="/>
  </w:docVars>
  <w:rsids>
    <w:rsidRoot w:val="00F67ADD"/>
    <w:rsid w:val="00001691"/>
    <w:rsid w:val="000109E6"/>
    <w:rsid w:val="00010F37"/>
    <w:rsid w:val="000157BE"/>
    <w:rsid w:val="00023E09"/>
    <w:rsid w:val="000271B9"/>
    <w:rsid w:val="00031565"/>
    <w:rsid w:val="00033C28"/>
    <w:rsid w:val="00034FC9"/>
    <w:rsid w:val="000373B8"/>
    <w:rsid w:val="000415F2"/>
    <w:rsid w:val="0006746B"/>
    <w:rsid w:val="00074860"/>
    <w:rsid w:val="00087724"/>
    <w:rsid w:val="00087906"/>
    <w:rsid w:val="00090304"/>
    <w:rsid w:val="00090E5E"/>
    <w:rsid w:val="00093A66"/>
    <w:rsid w:val="000A344E"/>
    <w:rsid w:val="000B2057"/>
    <w:rsid w:val="000C1910"/>
    <w:rsid w:val="000C7386"/>
    <w:rsid w:val="000E69F7"/>
    <w:rsid w:val="000E7FDF"/>
    <w:rsid w:val="000F5C92"/>
    <w:rsid w:val="000F70CA"/>
    <w:rsid w:val="00106F36"/>
    <w:rsid w:val="00110B84"/>
    <w:rsid w:val="00115FB9"/>
    <w:rsid w:val="00117556"/>
    <w:rsid w:val="00126AD4"/>
    <w:rsid w:val="0013153C"/>
    <w:rsid w:val="00142D72"/>
    <w:rsid w:val="00143EA9"/>
    <w:rsid w:val="001448BB"/>
    <w:rsid w:val="00161053"/>
    <w:rsid w:val="00171AD5"/>
    <w:rsid w:val="00183F47"/>
    <w:rsid w:val="0018429C"/>
    <w:rsid w:val="00184756"/>
    <w:rsid w:val="0019010E"/>
    <w:rsid w:val="001906E7"/>
    <w:rsid w:val="001A3CD5"/>
    <w:rsid w:val="001B02FF"/>
    <w:rsid w:val="001B2C47"/>
    <w:rsid w:val="001B6362"/>
    <w:rsid w:val="001C5EA0"/>
    <w:rsid w:val="001D129F"/>
    <w:rsid w:val="001E71A1"/>
    <w:rsid w:val="0020361B"/>
    <w:rsid w:val="00204F4D"/>
    <w:rsid w:val="0021194C"/>
    <w:rsid w:val="002263C1"/>
    <w:rsid w:val="00227B5E"/>
    <w:rsid w:val="00236014"/>
    <w:rsid w:val="00237C0E"/>
    <w:rsid w:val="00246516"/>
    <w:rsid w:val="00251C73"/>
    <w:rsid w:val="00257ECC"/>
    <w:rsid w:val="00260145"/>
    <w:rsid w:val="002636E5"/>
    <w:rsid w:val="00283F25"/>
    <w:rsid w:val="00284AA2"/>
    <w:rsid w:val="00293CB7"/>
    <w:rsid w:val="00294AC7"/>
    <w:rsid w:val="002D178A"/>
    <w:rsid w:val="002D1816"/>
    <w:rsid w:val="002D3C7F"/>
    <w:rsid w:val="002E6634"/>
    <w:rsid w:val="002F1309"/>
    <w:rsid w:val="00315930"/>
    <w:rsid w:val="00316954"/>
    <w:rsid w:val="00340175"/>
    <w:rsid w:val="00344E2B"/>
    <w:rsid w:val="00346F1B"/>
    <w:rsid w:val="00355339"/>
    <w:rsid w:val="00365819"/>
    <w:rsid w:val="00366A48"/>
    <w:rsid w:val="003725CB"/>
    <w:rsid w:val="00373121"/>
    <w:rsid w:val="00373B17"/>
    <w:rsid w:val="0038536F"/>
    <w:rsid w:val="0038623A"/>
    <w:rsid w:val="00392B0F"/>
    <w:rsid w:val="003A10AE"/>
    <w:rsid w:val="003A36E7"/>
    <w:rsid w:val="003C0900"/>
    <w:rsid w:val="003C1B9B"/>
    <w:rsid w:val="003C2860"/>
    <w:rsid w:val="003C73BE"/>
    <w:rsid w:val="003C7A7D"/>
    <w:rsid w:val="003D6E97"/>
    <w:rsid w:val="003E0727"/>
    <w:rsid w:val="003E4ECC"/>
    <w:rsid w:val="003E778B"/>
    <w:rsid w:val="00402C63"/>
    <w:rsid w:val="00403793"/>
    <w:rsid w:val="00407D51"/>
    <w:rsid w:val="0041495B"/>
    <w:rsid w:val="004167AF"/>
    <w:rsid w:val="00421624"/>
    <w:rsid w:val="00421C42"/>
    <w:rsid w:val="00423B69"/>
    <w:rsid w:val="00424B7A"/>
    <w:rsid w:val="00433DE2"/>
    <w:rsid w:val="00437D9C"/>
    <w:rsid w:val="004429D2"/>
    <w:rsid w:val="0044437C"/>
    <w:rsid w:val="0046603D"/>
    <w:rsid w:val="00485262"/>
    <w:rsid w:val="004853AA"/>
    <w:rsid w:val="00495124"/>
    <w:rsid w:val="004A2782"/>
    <w:rsid w:val="004A35A9"/>
    <w:rsid w:val="004A4913"/>
    <w:rsid w:val="004A4F17"/>
    <w:rsid w:val="004B23E1"/>
    <w:rsid w:val="004B711E"/>
    <w:rsid w:val="004C40FC"/>
    <w:rsid w:val="004C4469"/>
    <w:rsid w:val="004C6EC2"/>
    <w:rsid w:val="004D6015"/>
    <w:rsid w:val="004D607A"/>
    <w:rsid w:val="004F20B1"/>
    <w:rsid w:val="004F546D"/>
    <w:rsid w:val="00500DAE"/>
    <w:rsid w:val="00507A24"/>
    <w:rsid w:val="005107D3"/>
    <w:rsid w:val="0051712B"/>
    <w:rsid w:val="00517EBC"/>
    <w:rsid w:val="0052494F"/>
    <w:rsid w:val="00526413"/>
    <w:rsid w:val="00531FD8"/>
    <w:rsid w:val="0054559B"/>
    <w:rsid w:val="00551F89"/>
    <w:rsid w:val="00553952"/>
    <w:rsid w:val="00556FBD"/>
    <w:rsid w:val="0055756B"/>
    <w:rsid w:val="00563F77"/>
    <w:rsid w:val="00580D4B"/>
    <w:rsid w:val="005815F6"/>
    <w:rsid w:val="00583B00"/>
    <w:rsid w:val="005910FD"/>
    <w:rsid w:val="005918BE"/>
    <w:rsid w:val="005A6AD6"/>
    <w:rsid w:val="005A7526"/>
    <w:rsid w:val="005C7CBB"/>
    <w:rsid w:val="005D56B1"/>
    <w:rsid w:val="005E61FF"/>
    <w:rsid w:val="005F4E03"/>
    <w:rsid w:val="005F4EDD"/>
    <w:rsid w:val="0060553F"/>
    <w:rsid w:val="00611DAB"/>
    <w:rsid w:val="00612E88"/>
    <w:rsid w:val="00626D30"/>
    <w:rsid w:val="00637430"/>
    <w:rsid w:val="0064031A"/>
    <w:rsid w:val="00641EE2"/>
    <w:rsid w:val="00673AA9"/>
    <w:rsid w:val="00673DFC"/>
    <w:rsid w:val="00682453"/>
    <w:rsid w:val="0068411E"/>
    <w:rsid w:val="00684418"/>
    <w:rsid w:val="00697FC6"/>
    <w:rsid w:val="006A5175"/>
    <w:rsid w:val="006A7A7A"/>
    <w:rsid w:val="006B6093"/>
    <w:rsid w:val="006C1E38"/>
    <w:rsid w:val="006C4293"/>
    <w:rsid w:val="006D27E1"/>
    <w:rsid w:val="006D758A"/>
    <w:rsid w:val="006E2EAA"/>
    <w:rsid w:val="006E305A"/>
    <w:rsid w:val="00700A9F"/>
    <w:rsid w:val="00703889"/>
    <w:rsid w:val="007216D2"/>
    <w:rsid w:val="00722079"/>
    <w:rsid w:val="00724674"/>
    <w:rsid w:val="00747E10"/>
    <w:rsid w:val="00753293"/>
    <w:rsid w:val="0076260C"/>
    <w:rsid w:val="007649DA"/>
    <w:rsid w:val="007758B5"/>
    <w:rsid w:val="00776162"/>
    <w:rsid w:val="00792909"/>
    <w:rsid w:val="007A799C"/>
    <w:rsid w:val="007B1306"/>
    <w:rsid w:val="007C1016"/>
    <w:rsid w:val="007C2BFF"/>
    <w:rsid w:val="007C46B5"/>
    <w:rsid w:val="007C6E5F"/>
    <w:rsid w:val="007E21E2"/>
    <w:rsid w:val="007E3250"/>
    <w:rsid w:val="007F6235"/>
    <w:rsid w:val="00800E4E"/>
    <w:rsid w:val="00800E58"/>
    <w:rsid w:val="00805E3C"/>
    <w:rsid w:val="008215BE"/>
    <w:rsid w:val="008276F7"/>
    <w:rsid w:val="00827951"/>
    <w:rsid w:val="0083048A"/>
    <w:rsid w:val="00834E9F"/>
    <w:rsid w:val="00844B6C"/>
    <w:rsid w:val="008665C6"/>
    <w:rsid w:val="00866DFC"/>
    <w:rsid w:val="0087045F"/>
    <w:rsid w:val="00892BB7"/>
    <w:rsid w:val="00897DE8"/>
    <w:rsid w:val="008A5C11"/>
    <w:rsid w:val="008A5E9A"/>
    <w:rsid w:val="008B5A49"/>
    <w:rsid w:val="008C4329"/>
    <w:rsid w:val="008C654D"/>
    <w:rsid w:val="008C6569"/>
    <w:rsid w:val="008D0763"/>
    <w:rsid w:val="008D26CC"/>
    <w:rsid w:val="008E1394"/>
    <w:rsid w:val="008E32D6"/>
    <w:rsid w:val="008E50F2"/>
    <w:rsid w:val="00907453"/>
    <w:rsid w:val="00915929"/>
    <w:rsid w:val="009168F6"/>
    <w:rsid w:val="00926315"/>
    <w:rsid w:val="009306FB"/>
    <w:rsid w:val="00934706"/>
    <w:rsid w:val="009412D7"/>
    <w:rsid w:val="00944211"/>
    <w:rsid w:val="00955B1C"/>
    <w:rsid w:val="00961882"/>
    <w:rsid w:val="009677B6"/>
    <w:rsid w:val="009824FF"/>
    <w:rsid w:val="009912E6"/>
    <w:rsid w:val="00996C16"/>
    <w:rsid w:val="00997123"/>
    <w:rsid w:val="009A1DD4"/>
    <w:rsid w:val="009B44D5"/>
    <w:rsid w:val="009B7D75"/>
    <w:rsid w:val="009C7AD6"/>
    <w:rsid w:val="009D514F"/>
    <w:rsid w:val="009E0AA3"/>
    <w:rsid w:val="009E71CD"/>
    <w:rsid w:val="009F5D12"/>
    <w:rsid w:val="009F634A"/>
    <w:rsid w:val="009F6DE4"/>
    <w:rsid w:val="00A12D25"/>
    <w:rsid w:val="00A207AF"/>
    <w:rsid w:val="00A23339"/>
    <w:rsid w:val="00A25C5C"/>
    <w:rsid w:val="00A51748"/>
    <w:rsid w:val="00A5470E"/>
    <w:rsid w:val="00A56C04"/>
    <w:rsid w:val="00A6679F"/>
    <w:rsid w:val="00A77B8A"/>
    <w:rsid w:val="00A83AF8"/>
    <w:rsid w:val="00A903E9"/>
    <w:rsid w:val="00A90B51"/>
    <w:rsid w:val="00A9256C"/>
    <w:rsid w:val="00A934A5"/>
    <w:rsid w:val="00A93DC4"/>
    <w:rsid w:val="00A95934"/>
    <w:rsid w:val="00A95FD0"/>
    <w:rsid w:val="00AB3E81"/>
    <w:rsid w:val="00AC1D79"/>
    <w:rsid w:val="00AC7F8E"/>
    <w:rsid w:val="00AE4052"/>
    <w:rsid w:val="00AE54D8"/>
    <w:rsid w:val="00AE5F05"/>
    <w:rsid w:val="00AE6355"/>
    <w:rsid w:val="00AE7945"/>
    <w:rsid w:val="00AF6D6E"/>
    <w:rsid w:val="00B06CEC"/>
    <w:rsid w:val="00B12405"/>
    <w:rsid w:val="00B16C72"/>
    <w:rsid w:val="00B172F9"/>
    <w:rsid w:val="00B17D39"/>
    <w:rsid w:val="00B21621"/>
    <w:rsid w:val="00B46439"/>
    <w:rsid w:val="00B52662"/>
    <w:rsid w:val="00B6645C"/>
    <w:rsid w:val="00B664CB"/>
    <w:rsid w:val="00B73356"/>
    <w:rsid w:val="00B75ACA"/>
    <w:rsid w:val="00B82F1E"/>
    <w:rsid w:val="00B86A21"/>
    <w:rsid w:val="00B920E5"/>
    <w:rsid w:val="00B93E10"/>
    <w:rsid w:val="00BA0A34"/>
    <w:rsid w:val="00BA2B96"/>
    <w:rsid w:val="00BA458C"/>
    <w:rsid w:val="00BA464C"/>
    <w:rsid w:val="00BA62CF"/>
    <w:rsid w:val="00BA7066"/>
    <w:rsid w:val="00BC4E18"/>
    <w:rsid w:val="00BD0312"/>
    <w:rsid w:val="00BD1495"/>
    <w:rsid w:val="00BE063B"/>
    <w:rsid w:val="00BE2C1E"/>
    <w:rsid w:val="00BF04A6"/>
    <w:rsid w:val="00BF2F42"/>
    <w:rsid w:val="00C01B21"/>
    <w:rsid w:val="00C04C1B"/>
    <w:rsid w:val="00C1087E"/>
    <w:rsid w:val="00C46571"/>
    <w:rsid w:val="00C5762B"/>
    <w:rsid w:val="00C57ECB"/>
    <w:rsid w:val="00C62941"/>
    <w:rsid w:val="00C637A3"/>
    <w:rsid w:val="00C713E1"/>
    <w:rsid w:val="00C740F9"/>
    <w:rsid w:val="00C74EC4"/>
    <w:rsid w:val="00C76A26"/>
    <w:rsid w:val="00C90788"/>
    <w:rsid w:val="00C91CA4"/>
    <w:rsid w:val="00C97854"/>
    <w:rsid w:val="00CA3928"/>
    <w:rsid w:val="00CA4E66"/>
    <w:rsid w:val="00CA5312"/>
    <w:rsid w:val="00CA5453"/>
    <w:rsid w:val="00CA6D0F"/>
    <w:rsid w:val="00CB12B8"/>
    <w:rsid w:val="00CB13ED"/>
    <w:rsid w:val="00CB60DE"/>
    <w:rsid w:val="00CC0B3B"/>
    <w:rsid w:val="00CC1257"/>
    <w:rsid w:val="00CC19FE"/>
    <w:rsid w:val="00CC302C"/>
    <w:rsid w:val="00CD3B47"/>
    <w:rsid w:val="00CE7320"/>
    <w:rsid w:val="00D01B93"/>
    <w:rsid w:val="00D04841"/>
    <w:rsid w:val="00D06081"/>
    <w:rsid w:val="00D16908"/>
    <w:rsid w:val="00D16F69"/>
    <w:rsid w:val="00D17E65"/>
    <w:rsid w:val="00D204F1"/>
    <w:rsid w:val="00D34359"/>
    <w:rsid w:val="00D359D6"/>
    <w:rsid w:val="00D4469C"/>
    <w:rsid w:val="00D47599"/>
    <w:rsid w:val="00D47896"/>
    <w:rsid w:val="00D50166"/>
    <w:rsid w:val="00D540E0"/>
    <w:rsid w:val="00D558E9"/>
    <w:rsid w:val="00D616A6"/>
    <w:rsid w:val="00D625EC"/>
    <w:rsid w:val="00D75C71"/>
    <w:rsid w:val="00D806DB"/>
    <w:rsid w:val="00D808E9"/>
    <w:rsid w:val="00D80D95"/>
    <w:rsid w:val="00D86C84"/>
    <w:rsid w:val="00D958D6"/>
    <w:rsid w:val="00DA05C6"/>
    <w:rsid w:val="00DB658C"/>
    <w:rsid w:val="00DC2723"/>
    <w:rsid w:val="00DD29BA"/>
    <w:rsid w:val="00DD65A7"/>
    <w:rsid w:val="00DE0335"/>
    <w:rsid w:val="00DF0833"/>
    <w:rsid w:val="00E00033"/>
    <w:rsid w:val="00E00E3D"/>
    <w:rsid w:val="00E07138"/>
    <w:rsid w:val="00E31BB2"/>
    <w:rsid w:val="00E31D7B"/>
    <w:rsid w:val="00E33F07"/>
    <w:rsid w:val="00E370DA"/>
    <w:rsid w:val="00E50C90"/>
    <w:rsid w:val="00E52249"/>
    <w:rsid w:val="00E65FB3"/>
    <w:rsid w:val="00E7166B"/>
    <w:rsid w:val="00E722A5"/>
    <w:rsid w:val="00E81C48"/>
    <w:rsid w:val="00E87A00"/>
    <w:rsid w:val="00E87C61"/>
    <w:rsid w:val="00E944D9"/>
    <w:rsid w:val="00E9576C"/>
    <w:rsid w:val="00EA1330"/>
    <w:rsid w:val="00EA2D36"/>
    <w:rsid w:val="00EA4CF4"/>
    <w:rsid w:val="00EA5E70"/>
    <w:rsid w:val="00EC32DE"/>
    <w:rsid w:val="00EC5340"/>
    <w:rsid w:val="00EC79BF"/>
    <w:rsid w:val="00ED62F6"/>
    <w:rsid w:val="00ED66B6"/>
    <w:rsid w:val="00ED7BDB"/>
    <w:rsid w:val="00EE62CE"/>
    <w:rsid w:val="00EF0E75"/>
    <w:rsid w:val="00EF0F54"/>
    <w:rsid w:val="00EF6986"/>
    <w:rsid w:val="00F01242"/>
    <w:rsid w:val="00F10AD4"/>
    <w:rsid w:val="00F13FD6"/>
    <w:rsid w:val="00F172FD"/>
    <w:rsid w:val="00F22C41"/>
    <w:rsid w:val="00F42897"/>
    <w:rsid w:val="00F515C7"/>
    <w:rsid w:val="00F52FDE"/>
    <w:rsid w:val="00F60249"/>
    <w:rsid w:val="00F645D9"/>
    <w:rsid w:val="00F67ADD"/>
    <w:rsid w:val="00F724F2"/>
    <w:rsid w:val="00F73D19"/>
    <w:rsid w:val="00F77F15"/>
    <w:rsid w:val="00F81F55"/>
    <w:rsid w:val="00F83105"/>
    <w:rsid w:val="00F87478"/>
    <w:rsid w:val="00F87F80"/>
    <w:rsid w:val="00F97A48"/>
    <w:rsid w:val="00FA091E"/>
    <w:rsid w:val="00FB1117"/>
    <w:rsid w:val="00FB2621"/>
    <w:rsid w:val="00FB45FD"/>
    <w:rsid w:val="00FB5CB0"/>
    <w:rsid w:val="00FB5CF7"/>
    <w:rsid w:val="00FC27EA"/>
    <w:rsid w:val="00FD3EFB"/>
    <w:rsid w:val="00FE044B"/>
    <w:rsid w:val="00FF3D2E"/>
    <w:rsid w:val="06CF780B"/>
    <w:rsid w:val="094850A6"/>
    <w:rsid w:val="097778A3"/>
    <w:rsid w:val="0D7C7A22"/>
    <w:rsid w:val="115D6AA8"/>
    <w:rsid w:val="1D060894"/>
    <w:rsid w:val="23495292"/>
    <w:rsid w:val="25157B3B"/>
    <w:rsid w:val="259E1DAC"/>
    <w:rsid w:val="2836311F"/>
    <w:rsid w:val="2AB7265E"/>
    <w:rsid w:val="2C680615"/>
    <w:rsid w:val="2E2B4CCE"/>
    <w:rsid w:val="2FE2746E"/>
    <w:rsid w:val="30296D11"/>
    <w:rsid w:val="32461CB2"/>
    <w:rsid w:val="38FD196C"/>
    <w:rsid w:val="39AD5D0C"/>
    <w:rsid w:val="41C241FA"/>
    <w:rsid w:val="44F633BF"/>
    <w:rsid w:val="4A267FDC"/>
    <w:rsid w:val="4AB128DE"/>
    <w:rsid w:val="4AEE55F3"/>
    <w:rsid w:val="511A6C3F"/>
    <w:rsid w:val="51A55807"/>
    <w:rsid w:val="55FC124D"/>
    <w:rsid w:val="561E6CD3"/>
    <w:rsid w:val="57A674FB"/>
    <w:rsid w:val="5B124492"/>
    <w:rsid w:val="5B7A44CD"/>
    <w:rsid w:val="5E7A3F90"/>
    <w:rsid w:val="63266040"/>
    <w:rsid w:val="77EB6D59"/>
    <w:rsid w:val="7A6465BC"/>
    <w:rsid w:val="9FDFC24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qFormat="1" w:unhideWhenUsed="0" w:uiPriority="0" w:semiHidden="0"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outlineLvl w:val="0"/>
    </w:pPr>
    <w:rPr>
      <w:rFonts w:ascii="Microsoft JhengHei" w:hAnsi="Microsoft JhengHei" w:eastAsia="Microsoft JhengHei" w:cs="Microsoft JhengHei"/>
      <w:b/>
      <w:bCs/>
      <w:sz w:val="36"/>
      <w:szCs w:val="36"/>
    </w:rPr>
  </w:style>
  <w:style w:type="paragraph" w:styleId="3">
    <w:name w:val="heading 2"/>
    <w:basedOn w:val="1"/>
    <w:next w:val="1"/>
    <w:semiHidden/>
    <w:unhideWhenUsed/>
    <w:qFormat/>
    <w:uiPriority w:val="9"/>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13">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4">
    <w:name w:val="Body Text"/>
    <w:basedOn w:val="1"/>
    <w:semiHidden/>
    <w:qFormat/>
    <w:uiPriority w:val="0"/>
    <w:rPr>
      <w:rFonts w:ascii="仿宋" w:hAnsi="仿宋" w:eastAsia="仿宋" w:cs="仿宋"/>
      <w:sz w:val="32"/>
      <w:szCs w:val="32"/>
      <w:lang w:val="en-US" w:eastAsia="en-US" w:bidi="ar-SA"/>
    </w:rPr>
  </w:style>
  <w:style w:type="paragraph" w:styleId="5">
    <w:name w:val="Body Text Indent"/>
    <w:basedOn w:val="1"/>
    <w:qFormat/>
    <w:uiPriority w:val="0"/>
    <w:pPr>
      <w:ind w:firstLine="420" w:firstLineChars="200"/>
    </w:pPr>
  </w:style>
  <w:style w:type="paragraph" w:styleId="6">
    <w:name w:val="Balloon Text"/>
    <w:basedOn w:val="1"/>
    <w:link w:val="18"/>
    <w:semiHidden/>
    <w:unhideWhenUsed/>
    <w:qFormat/>
    <w:uiPriority w:val="99"/>
    <w:rPr>
      <w:sz w:val="18"/>
      <w:szCs w:val="18"/>
    </w:rPr>
  </w:style>
  <w:style w:type="paragraph" w:styleId="7">
    <w:name w:val="footer"/>
    <w:basedOn w:val="1"/>
    <w:link w:val="16"/>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8">
    <w:name w:val="header"/>
    <w:basedOn w:val="1"/>
    <w:link w:val="15"/>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9">
    <w:name w:val="toc 1"/>
    <w:basedOn w:val="1"/>
    <w:next w:val="1"/>
    <w:qFormat/>
    <w:uiPriority w:val="0"/>
    <w:pPr>
      <w:autoSpaceDE/>
      <w:autoSpaceDN/>
      <w:ind w:firstLine="480" w:firstLineChars="200"/>
      <w:jc w:val="both"/>
    </w:pPr>
    <w:rPr>
      <w:rFonts w:asciiTheme="minorHAnsi" w:hAnsiTheme="minorHAnsi" w:eastAsiaTheme="minorEastAsia" w:cstheme="minorBidi"/>
      <w:kern w:val="2"/>
      <w:sz w:val="24"/>
      <w:lang w:val="en-US" w:bidi="ar-SA"/>
    </w:rPr>
  </w:style>
  <w:style w:type="paragraph" w:styleId="10">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table" w:styleId="12">
    <w:name w:val="Table Grid"/>
    <w:basedOn w:val="11"/>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4">
    <w:name w:val="HTML Code"/>
    <w:basedOn w:val="13"/>
    <w:qFormat/>
    <w:uiPriority w:val="0"/>
    <w:rPr>
      <w:rFonts w:ascii="Courier New" w:hAnsi="Courier New"/>
      <w:sz w:val="20"/>
    </w:rPr>
  </w:style>
  <w:style w:type="character" w:customStyle="1" w:styleId="15">
    <w:name w:val="页眉 Char"/>
    <w:basedOn w:val="13"/>
    <w:link w:val="8"/>
    <w:qFormat/>
    <w:uiPriority w:val="99"/>
    <w:rPr>
      <w:sz w:val="18"/>
      <w:szCs w:val="18"/>
    </w:rPr>
  </w:style>
  <w:style w:type="character" w:customStyle="1" w:styleId="16">
    <w:name w:val="页脚 Char"/>
    <w:basedOn w:val="13"/>
    <w:link w:val="7"/>
    <w:qFormat/>
    <w:uiPriority w:val="99"/>
    <w:rPr>
      <w:sz w:val="18"/>
      <w:szCs w:val="18"/>
    </w:rPr>
  </w:style>
  <w:style w:type="paragraph" w:styleId="17">
    <w:name w:val="List Paragraph"/>
    <w:basedOn w:val="1"/>
    <w:qFormat/>
    <w:uiPriority w:val="34"/>
    <w:pPr>
      <w:ind w:firstLine="420" w:firstLineChars="200"/>
    </w:pPr>
  </w:style>
  <w:style w:type="character" w:customStyle="1" w:styleId="18">
    <w:name w:val="批注框文本 Char"/>
    <w:basedOn w:val="13"/>
    <w:link w:val="6"/>
    <w:semiHidden/>
    <w:qFormat/>
    <w:uiPriority w:val="99"/>
    <w:rPr>
      <w:rFonts w:ascii="Times New Roman" w:hAnsi="Times New Roman" w:eastAsia="宋体" w:cs="Times New Roman"/>
      <w:sz w:val="18"/>
      <w:szCs w:val="18"/>
    </w:rPr>
  </w:style>
  <w:style w:type="paragraph" w:customStyle="1" w:styleId="19">
    <w:name w:val="Table Text"/>
    <w:basedOn w:val="1"/>
    <w:semiHidden/>
    <w:qFormat/>
    <w:uiPriority w:val="0"/>
    <w:rPr>
      <w:rFonts w:ascii="仿宋" w:hAnsi="仿宋" w:eastAsia="仿宋" w:cs="仿宋"/>
      <w:sz w:val="32"/>
      <w:szCs w:val="32"/>
      <w:lang w:val="en-US" w:eastAsia="en-US" w:bidi="ar-SA"/>
    </w:rPr>
  </w:style>
  <w:style w:type="table" w:customStyle="1" w:styleId="20">
    <w:name w:val="Table Normal"/>
    <w:semiHidden/>
    <w:unhideWhenUsed/>
    <w:qFormat/>
    <w:uiPriority w:val="0"/>
    <w:tblPr>
      <w:tblCellMar>
        <w:top w:w="0" w:type="dxa"/>
        <w:left w:w="0" w:type="dxa"/>
        <w:bottom w:w="0" w:type="dxa"/>
        <w:right w:w="0" w:type="dxa"/>
      </w:tblCellMar>
    </w:tblPr>
  </w:style>
  <w:style w:type="paragraph" w:customStyle="1" w:styleId="21">
    <w:name w:val="Table Paragraph"/>
    <w:basedOn w:val="1"/>
    <w:qFormat/>
    <w:uiPriority w:val="1"/>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jpeg"/><Relationship Id="rId5" Type="http://schemas.openxmlformats.org/officeDocument/2006/relationships/theme" Target="theme/theme1.xml"/><Relationship Id="rId41" Type="http://schemas.openxmlformats.org/officeDocument/2006/relationships/fontTable" Target="fontTable.xml"/><Relationship Id="rId40" Type="http://schemas.openxmlformats.org/officeDocument/2006/relationships/numbering" Target="numbering.xml"/><Relationship Id="rId4" Type="http://schemas.openxmlformats.org/officeDocument/2006/relationships/footer" Target="footer2.xml"/><Relationship Id="rId39" Type="http://schemas.openxmlformats.org/officeDocument/2006/relationships/customXml" Target="../customXml/item1.xml"/><Relationship Id="rId38" Type="http://schemas.openxmlformats.org/officeDocument/2006/relationships/image" Target="media/image33.png"/><Relationship Id="rId37" Type="http://schemas.openxmlformats.org/officeDocument/2006/relationships/image" Target="media/image32.png"/><Relationship Id="rId36" Type="http://schemas.openxmlformats.org/officeDocument/2006/relationships/image" Target="media/image31.png"/><Relationship Id="rId35" Type="http://schemas.openxmlformats.org/officeDocument/2006/relationships/image" Target="media/image30.png"/><Relationship Id="rId34" Type="http://schemas.openxmlformats.org/officeDocument/2006/relationships/image" Target="media/image29.png"/><Relationship Id="rId33" Type="http://schemas.openxmlformats.org/officeDocument/2006/relationships/image" Target="media/image28.png"/><Relationship Id="rId32" Type="http://schemas.openxmlformats.org/officeDocument/2006/relationships/image" Target="media/image27.png"/><Relationship Id="rId31" Type="http://schemas.openxmlformats.org/officeDocument/2006/relationships/image" Target="media/image26.png"/><Relationship Id="rId30" Type="http://schemas.openxmlformats.org/officeDocument/2006/relationships/image" Target="media/image25.png"/><Relationship Id="rId3" Type="http://schemas.openxmlformats.org/officeDocument/2006/relationships/footer" Target="footer1.xml"/><Relationship Id="rId29" Type="http://schemas.openxmlformats.org/officeDocument/2006/relationships/image" Target="media/image24.png"/><Relationship Id="rId28" Type="http://schemas.openxmlformats.org/officeDocument/2006/relationships/image" Target="media/image23.png"/><Relationship Id="rId27" Type="http://schemas.openxmlformats.org/officeDocument/2006/relationships/image" Target="media/image22.png"/><Relationship Id="rId26" Type="http://schemas.openxmlformats.org/officeDocument/2006/relationships/image" Target="media/image21.png"/><Relationship Id="rId25" Type="http://schemas.openxmlformats.org/officeDocument/2006/relationships/image" Target="media/image20.png"/><Relationship Id="rId24" Type="http://schemas.openxmlformats.org/officeDocument/2006/relationships/image" Target="media/image19.png"/><Relationship Id="rId23" Type="http://schemas.openxmlformats.org/officeDocument/2006/relationships/image" Target="media/image18.png"/><Relationship Id="rId22" Type="http://schemas.openxmlformats.org/officeDocument/2006/relationships/image" Target="media/image17.png"/><Relationship Id="rId21" Type="http://schemas.openxmlformats.org/officeDocument/2006/relationships/image" Target="media/image16.png"/><Relationship Id="rId20" Type="http://schemas.openxmlformats.org/officeDocument/2006/relationships/image" Target="media/image15.png"/><Relationship Id="rId2" Type="http://schemas.openxmlformats.org/officeDocument/2006/relationships/settings" Target="settings.xml"/><Relationship Id="rId19" Type="http://schemas.openxmlformats.org/officeDocument/2006/relationships/image" Target="media/image14.png"/><Relationship Id="rId18" Type="http://schemas.openxmlformats.org/officeDocument/2006/relationships/image" Target="media/image13.png"/><Relationship Id="rId17" Type="http://schemas.openxmlformats.org/officeDocument/2006/relationships/image" Target="media/image12.png"/><Relationship Id="rId16" Type="http://schemas.openxmlformats.org/officeDocument/2006/relationships/image" Target="media/image11.png"/><Relationship Id="rId15" Type="http://schemas.openxmlformats.org/officeDocument/2006/relationships/image" Target="media/image10.png"/><Relationship Id="rId14" Type="http://schemas.openxmlformats.org/officeDocument/2006/relationships/image" Target="media/image9.png"/><Relationship Id="rId13" Type="http://schemas.openxmlformats.org/officeDocument/2006/relationships/image" Target="media/image8.png"/><Relationship Id="rId12" Type="http://schemas.openxmlformats.org/officeDocument/2006/relationships/image" Target="media/image7.png"/><Relationship Id="rId11" Type="http://schemas.openxmlformats.org/officeDocument/2006/relationships/image" Target="media/image6.png"/><Relationship Id="rId10" Type="http://schemas.openxmlformats.org/officeDocument/2006/relationships/image" Target="media/image5.png"/><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6" textRotate="1"/>
  </customShpExts>
  <extobjs>
    <extobj name="F360BE8B-6686-4F3D-AEAF-501FE73E4058-1">
      <extobjdata type="F360BE8B-6686-4F3D-AEAF-501FE73E4058" data="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"/>
    </extobj>
    <extobj name="F360BE8B-6686-4F3D-AEAF-501FE73E4058-2">
      <extobjdata type="F360BE8B-6686-4F3D-AEAF-501FE73E4058" data="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"/>
    </extobj>
  </extobj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42</Pages>
  <Words>11229</Words>
  <Characters>11528</Characters>
  <Lines>45</Lines>
  <Paragraphs>12</Paragraphs>
  <TotalTime>59</TotalTime>
  <ScaleCrop>false</ScaleCrop>
  <LinksUpToDate>false</LinksUpToDate>
  <CharactersWithSpaces>12143</CharactersWithSpaces>
  <Application>WPS Office_12.1.26055.26055_F1E327BC-269C-435d-A152-05C5408002CA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2020-05-26T15:43:00Z</dcterms:created>
  <dc:creator>吴佳</dc:creator>
  <cp:lastModifiedBy>李付亮</cp:lastModifiedBy>
  <cp:lastPrinted>2021-06-20T15:16:00Z</cp:lastPrinted>
  <dcterms:modified xsi:type="dcterms:W3CDTF">2026-09-15T15:13:04Z</dcterms:modified>
  <cp:revision>85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2052-12.1.26055.26055</vt:lpwstr>
  </property>
  <property fmtid="{D5CDD505-2E9C-101B-9397-08002B2CF9AE}" pid="3" name="ICV">
    <vt:lpwstr>4C9BD87F21FB490FA543BB166713A06C_13</vt:lpwstr>
  </property>
  <property fmtid="{D5CDD505-2E9C-101B-9397-08002B2CF9AE}" pid="4" name="KSOTemplateDocerSaveRecord">
    <vt:lpwstr>eyJoZGlkIjoiMjkzMDBjOTg5NDEyMDhhNzg0OWYxMzAwNzc3NmIxMmEiLCJ1c2VySWQiOiIxNTcyMjMyMDQzIn0=</vt:lpwstr>
  </property>
</Properties>
</file>