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eastAsia="黑体"/>
          <w:b/>
          <w:bCs/>
          <w:sz w:val="32"/>
          <w:szCs w:val="32"/>
        </w:rPr>
      </w:pPr>
      <w:r>
        <w:rPr>
          <w:rFonts w:hint="eastAsia" w:eastAsia="黑体"/>
          <w:b/>
          <w:bCs/>
          <w:sz w:val="32"/>
          <w:szCs w:val="32"/>
          <w:u w:val="none"/>
        </w:rPr>
        <w:t xml:space="preserve"> </w:t>
      </w:r>
      <w:r>
        <w:rPr>
          <w:rFonts w:hint="eastAsia" w:eastAsia="黑体"/>
          <w:b/>
          <w:bCs/>
          <w:sz w:val="32"/>
          <w:szCs w:val="32"/>
          <w:u w:val="none"/>
          <w:lang w:eastAsia="zh-CN"/>
        </w:rPr>
        <w:t>娄底职业技术学院</w:t>
      </w:r>
      <w:r>
        <w:rPr>
          <w:rFonts w:hint="eastAsia" w:eastAsia="黑体"/>
          <w:b/>
          <w:bCs/>
          <w:sz w:val="32"/>
          <w:szCs w:val="32"/>
          <w:u w:val="single"/>
          <w:lang w:eastAsia="zh-CN"/>
        </w:rPr>
        <w:t>莫锋</w:t>
      </w:r>
      <w:r>
        <w:rPr>
          <w:rFonts w:hint="eastAsia" w:eastAsia="黑体"/>
          <w:b/>
          <w:bCs/>
          <w:sz w:val="32"/>
          <w:szCs w:val="32"/>
          <w:u w:val="single"/>
        </w:rPr>
        <w:t xml:space="preserve"> </w:t>
      </w:r>
      <w:r>
        <w:rPr>
          <w:rFonts w:hint="eastAsia" w:eastAsia="黑体"/>
          <w:b/>
          <w:bCs/>
          <w:sz w:val="32"/>
          <w:szCs w:val="32"/>
        </w:rPr>
        <w:t>拟申报</w:t>
      </w:r>
      <w:r>
        <w:rPr>
          <w:rFonts w:hint="eastAsia" w:eastAsia="黑体"/>
          <w:b/>
          <w:bCs/>
          <w:sz w:val="32"/>
          <w:szCs w:val="32"/>
          <w:u w:val="single"/>
        </w:rPr>
        <w:t xml:space="preserve"> </w:t>
      </w:r>
      <w:r>
        <w:rPr>
          <w:rFonts w:hint="eastAsia" w:eastAsia="黑体"/>
          <w:b/>
          <w:bCs/>
          <w:sz w:val="32"/>
          <w:szCs w:val="32"/>
          <w:u w:val="single"/>
          <w:lang w:eastAsia="zh-CN"/>
        </w:rPr>
        <w:t>高级政工师</w:t>
      </w:r>
      <w:r>
        <w:rPr>
          <w:rFonts w:hint="eastAsia" w:eastAsia="黑体"/>
          <w:b/>
          <w:bCs/>
          <w:sz w:val="32"/>
          <w:szCs w:val="32"/>
          <w:u w:val="single"/>
        </w:rPr>
        <w:t xml:space="preserve">  </w:t>
      </w:r>
      <w:r>
        <w:rPr>
          <w:rFonts w:hint="eastAsia" w:eastAsia="黑体"/>
          <w:b/>
          <w:bCs/>
          <w:sz w:val="32"/>
          <w:szCs w:val="32"/>
        </w:rPr>
        <w:t>公示材料</w:t>
      </w:r>
    </w:p>
    <w:p>
      <w:pPr>
        <w:ind w:firstLine="839" w:firstLineChars="398"/>
        <w:rPr>
          <w:b/>
          <w:bCs/>
        </w:rPr>
      </w:pPr>
    </w:p>
    <w:tbl>
      <w:tblPr>
        <w:tblStyle w:val="4"/>
        <w:tblpPr w:leftFromText="180" w:rightFromText="180" w:vertAnchor="text" w:horzAnchor="page" w:tblpX="1101" w:tblpY="322"/>
        <w:tblOverlap w:val="never"/>
        <w:tblW w:w="217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826"/>
        <w:gridCol w:w="82"/>
        <w:gridCol w:w="532"/>
        <w:gridCol w:w="314"/>
        <w:gridCol w:w="359"/>
        <w:gridCol w:w="314"/>
        <w:gridCol w:w="323"/>
        <w:gridCol w:w="349"/>
        <w:gridCol w:w="337"/>
        <w:gridCol w:w="870"/>
        <w:gridCol w:w="1436"/>
        <w:gridCol w:w="14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1061"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sz w:val="21"/>
                <w:szCs w:val="21"/>
              </w:rPr>
            </w:pPr>
            <w:r>
              <w:rPr>
                <w:rFonts w:hint="eastAsia"/>
                <w:sz w:val="21"/>
                <w:szCs w:val="21"/>
              </w:rPr>
              <w:t>姓</w:t>
            </w:r>
            <w:r>
              <w:rPr>
                <w:sz w:val="21"/>
                <w:szCs w:val="21"/>
              </w:rPr>
              <w:t xml:space="preserve">  </w:t>
            </w:r>
            <w:r>
              <w:rPr>
                <w:rFonts w:hint="eastAsia"/>
                <w:sz w:val="21"/>
                <w:szCs w:val="21"/>
              </w:rPr>
              <w:t>名</w:t>
            </w:r>
          </w:p>
        </w:tc>
        <w:tc>
          <w:tcPr>
            <w:tcW w:w="908"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hint="eastAsia" w:eastAsia="宋体"/>
                <w:sz w:val="21"/>
                <w:szCs w:val="21"/>
                <w:lang w:eastAsia="zh-CN"/>
              </w:rPr>
            </w:pPr>
            <w:r>
              <w:rPr>
                <w:rFonts w:hint="eastAsia"/>
                <w:sz w:val="21"/>
                <w:szCs w:val="21"/>
                <w:lang w:eastAsia="zh-CN"/>
              </w:rPr>
              <w:t>莫锋</w:t>
            </w:r>
          </w:p>
        </w:tc>
        <w:tc>
          <w:tcPr>
            <w:tcW w:w="846"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hint="eastAsia"/>
                <w:sz w:val="21"/>
                <w:szCs w:val="21"/>
              </w:rPr>
            </w:pPr>
            <w:r>
              <w:rPr>
                <w:rFonts w:hint="eastAsia"/>
                <w:sz w:val="21"/>
                <w:szCs w:val="21"/>
              </w:rPr>
              <w:t>性别</w:t>
            </w:r>
          </w:p>
        </w:tc>
        <w:tc>
          <w:tcPr>
            <w:tcW w:w="673"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hint="eastAsia" w:eastAsia="宋体"/>
                <w:sz w:val="21"/>
                <w:szCs w:val="21"/>
                <w:lang w:eastAsia="zh-CN"/>
              </w:rPr>
            </w:pPr>
            <w:r>
              <w:rPr>
                <w:rFonts w:hint="eastAsia"/>
                <w:sz w:val="21"/>
                <w:szCs w:val="21"/>
                <w:lang w:eastAsia="zh-CN"/>
              </w:rPr>
              <w:t>男</w:t>
            </w:r>
          </w:p>
        </w:tc>
        <w:tc>
          <w:tcPr>
            <w:tcW w:w="1009" w:type="dxa"/>
            <w:gridSpan w:val="3"/>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hint="eastAsia"/>
                <w:sz w:val="21"/>
                <w:szCs w:val="21"/>
              </w:rPr>
            </w:pPr>
            <w:r>
              <w:rPr>
                <w:rFonts w:hint="eastAsia"/>
                <w:sz w:val="21"/>
                <w:szCs w:val="21"/>
              </w:rPr>
              <w:t>出生年月</w:t>
            </w:r>
          </w:p>
        </w:tc>
        <w:tc>
          <w:tcPr>
            <w:tcW w:w="870"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hint="default" w:eastAsia="宋体"/>
                <w:sz w:val="21"/>
                <w:szCs w:val="21"/>
                <w:lang w:val="en-US" w:eastAsia="zh-CN"/>
              </w:rPr>
            </w:pPr>
            <w:r>
              <w:rPr>
                <w:rFonts w:hint="eastAsia"/>
                <w:sz w:val="21"/>
                <w:szCs w:val="21"/>
                <w:lang w:val="en-US" w:eastAsia="zh-CN"/>
              </w:rPr>
              <w:t>1976.09</w:t>
            </w:r>
          </w:p>
        </w:tc>
        <w:tc>
          <w:tcPr>
            <w:tcW w:w="1436" w:type="dxa"/>
            <w:vMerge w:val="restart"/>
            <w:tcBorders>
              <w:top w:val="single" w:color="auto" w:sz="4" w:space="0"/>
              <w:left w:val="single" w:color="auto" w:sz="4" w:space="0"/>
              <w:right w:val="single" w:color="auto" w:sz="4" w:space="0"/>
            </w:tcBorders>
            <w:noWrap w:val="0"/>
            <w:vAlign w:val="center"/>
          </w:tcPr>
          <w:p>
            <w:pPr>
              <w:spacing w:line="280" w:lineRule="exact"/>
              <w:jc w:val="center"/>
              <w:rPr>
                <w:rFonts w:hint="eastAsia"/>
                <w:sz w:val="21"/>
                <w:szCs w:val="21"/>
              </w:rPr>
            </w:pPr>
            <w:r>
              <w:rPr>
                <w:rFonts w:hint="eastAsia"/>
                <w:sz w:val="21"/>
                <w:szCs w:val="21"/>
              </w:rPr>
              <w:t>工作业绩</w:t>
            </w:r>
          </w:p>
        </w:tc>
        <w:tc>
          <w:tcPr>
            <w:tcW w:w="14933" w:type="dxa"/>
            <w:vMerge w:val="restart"/>
            <w:tcBorders>
              <w:top w:val="single" w:color="auto" w:sz="4" w:space="0"/>
              <w:left w:val="single" w:color="auto" w:sz="4" w:space="0"/>
              <w:right w:val="single" w:color="auto" w:sz="4" w:space="0"/>
            </w:tcBorders>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0" w:leftChars="0" w:firstLine="0" w:firstLineChars="0"/>
              <w:jc w:val="left"/>
              <w:textAlignment w:val="auto"/>
              <w:rPr>
                <w:rFonts w:hint="eastAsia" w:ascii="楷体" w:hAnsi="楷体" w:eastAsia="楷体" w:cs="楷体"/>
                <w:b/>
                <w:bCs/>
                <w:sz w:val="21"/>
                <w:szCs w:val="21"/>
                <w:lang w:val="en-US" w:eastAsia="zh-CN"/>
              </w:rPr>
            </w:pPr>
            <w:r>
              <w:rPr>
                <w:rFonts w:hint="eastAsia" w:ascii="楷体" w:hAnsi="楷体" w:eastAsia="楷体" w:cs="楷体"/>
                <w:b/>
                <w:bCs/>
                <w:sz w:val="21"/>
                <w:szCs w:val="21"/>
                <w:lang w:val="en-US" w:eastAsia="zh-CN"/>
              </w:rPr>
              <w:t>现将任现职以来主要工作实绩做如下述职：</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0" w:leftChars="0" w:firstLine="0" w:firstLineChars="0"/>
              <w:jc w:val="left"/>
              <w:textAlignment w:val="auto"/>
              <w:rPr>
                <w:rFonts w:hint="eastAsia" w:ascii="仿宋" w:hAnsi="仿宋" w:eastAsia="仿宋" w:cs="仿宋"/>
                <w:sz w:val="21"/>
                <w:szCs w:val="21"/>
                <w:lang w:val="en-US" w:eastAsia="zh-CN"/>
              </w:rPr>
            </w:pPr>
            <w:r>
              <w:rPr>
                <w:rFonts w:hint="eastAsia" w:ascii="楷体" w:hAnsi="楷体" w:eastAsia="楷体" w:cs="楷体"/>
                <w:b/>
                <w:bCs/>
                <w:sz w:val="21"/>
                <w:szCs w:val="21"/>
                <w:lang w:val="en-US" w:eastAsia="zh-CN"/>
              </w:rPr>
              <w:t>一、人才招聘及人才服务工作成绩显著。</w:t>
            </w:r>
            <w:r>
              <w:rPr>
                <w:rFonts w:hint="eastAsia" w:ascii="仿宋" w:hAnsi="仿宋" w:eastAsia="仿宋" w:cs="仿宋"/>
                <w:sz w:val="21"/>
                <w:szCs w:val="21"/>
                <w:lang w:val="en-US" w:eastAsia="zh-CN"/>
              </w:rPr>
              <w:t>2018年以来，学校引进了</w:t>
            </w:r>
            <w:r>
              <w:rPr>
                <w:rFonts w:hint="eastAsia" w:ascii="仿宋" w:hAnsi="仿宋" w:eastAsia="仿宋" w:cs="仿宋"/>
                <w:b w:val="0"/>
                <w:bCs w:val="0"/>
                <w:sz w:val="21"/>
                <w:szCs w:val="21"/>
                <w:lang w:val="en-US" w:eastAsia="zh-CN"/>
              </w:rPr>
              <w:t>博士、硕士研究生及副高以上职称人才191人，本科生89人，撰写招聘方案10余份，各类笔试、面试组考方案20余份，公开招聘工作经验与做法被市里多家单位借鉴，</w:t>
            </w:r>
            <w:r>
              <w:rPr>
                <w:rFonts w:hint="eastAsia" w:ascii="仿宋" w:hAnsi="仿宋" w:eastAsia="仿宋" w:cs="仿宋"/>
                <w:sz w:val="21"/>
                <w:szCs w:val="21"/>
                <w:lang w:val="en-US" w:eastAsia="zh-CN"/>
              </w:rPr>
              <w:t>为吸引人才，留住人才，努力提升服务质量，为人才提供丰厚的生活补贴、住房补贴、优越的科研条件、安排过渡性住房，并解决子女入学及配偶随调等一系列服务。</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0" w:leftChars="0" w:firstLine="0" w:firstLineChars="0"/>
              <w:jc w:val="left"/>
              <w:textAlignment w:val="auto"/>
              <w:rPr>
                <w:rFonts w:hint="eastAsia" w:ascii="仿宋" w:hAnsi="仿宋" w:eastAsia="仿宋" w:cs="仿宋"/>
                <w:color w:val="auto"/>
                <w:sz w:val="21"/>
                <w:szCs w:val="21"/>
                <w:lang w:val="en-US" w:eastAsia="zh-CN"/>
              </w:rPr>
            </w:pPr>
            <w:r>
              <w:rPr>
                <w:rFonts w:hint="eastAsia" w:ascii="楷体" w:hAnsi="楷体" w:eastAsia="楷体" w:cs="楷体"/>
                <w:b/>
                <w:bCs/>
                <w:sz w:val="21"/>
                <w:szCs w:val="21"/>
                <w:lang w:val="en-US" w:eastAsia="zh-CN"/>
              </w:rPr>
              <w:t>二、特殊人群安置安抚工作服务到位。</w:t>
            </w:r>
            <w:r>
              <w:rPr>
                <w:rFonts w:hint="eastAsia" w:ascii="仿宋" w:hAnsi="仿宋" w:eastAsia="仿宋" w:cs="仿宋"/>
                <w:color w:val="auto"/>
                <w:sz w:val="21"/>
                <w:szCs w:val="21"/>
                <w:lang w:val="en-US" w:eastAsia="zh-CN"/>
              </w:rPr>
              <w:t>关注残疾人事业，安排残疾人就业工作是深入贯彻落实习近平总书记关于残疾人事业重要指示批示和湖南重要讲话重要指示批示精神和深入贯彻落实习近平总书记关于“双拥”工作重要讲话精神，做好2个节日慰问工作（即建军节慰问及助残日慰问），给这些特殊群体送去关怀、温暖人心。</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0" w:leftChars="0" w:firstLine="0" w:firstLineChars="0"/>
              <w:jc w:val="left"/>
              <w:textAlignment w:val="auto"/>
              <w:rPr>
                <w:rFonts w:hint="eastAsia" w:ascii="仿宋" w:hAnsi="仿宋" w:eastAsia="仿宋" w:cs="仿宋"/>
                <w:b w:val="0"/>
                <w:bCs w:val="0"/>
                <w:sz w:val="21"/>
                <w:szCs w:val="21"/>
                <w:lang w:val="en-US" w:eastAsia="zh-CN"/>
              </w:rPr>
            </w:pPr>
            <w:r>
              <w:rPr>
                <w:rFonts w:hint="eastAsia" w:ascii="楷体" w:hAnsi="楷体" w:eastAsia="楷体" w:cs="楷体"/>
                <w:b/>
                <w:bCs/>
                <w:sz w:val="21"/>
                <w:szCs w:val="21"/>
                <w:lang w:val="en-US" w:eastAsia="zh-CN"/>
              </w:rPr>
              <w:t>三、队伍建设及制度建设有创新</w:t>
            </w:r>
            <w:r>
              <w:rPr>
                <w:rFonts w:hint="eastAsia" w:ascii="仿宋" w:hAnsi="仿宋" w:eastAsia="仿宋" w:cs="仿宋"/>
                <w:b/>
                <w:bCs/>
                <w:sz w:val="21"/>
                <w:szCs w:val="21"/>
                <w:lang w:val="en-US" w:eastAsia="zh-CN"/>
              </w:rPr>
              <w:t>。一是</w:t>
            </w:r>
            <w:r>
              <w:rPr>
                <w:rFonts w:hint="eastAsia" w:ascii="仿宋" w:hAnsi="仿宋" w:eastAsia="仿宋" w:cs="仿宋"/>
                <w:b w:val="0"/>
                <w:bCs w:val="0"/>
                <w:sz w:val="21"/>
                <w:szCs w:val="21"/>
                <w:lang w:val="en-US" w:eastAsia="zh-CN"/>
              </w:rPr>
              <w:t>根据《</w:t>
            </w:r>
            <w:r>
              <w:rPr>
                <w:rFonts w:hint="eastAsia" w:ascii="仿宋" w:hAnsi="仿宋" w:eastAsia="仿宋" w:cs="仿宋"/>
                <w:b w:val="0"/>
                <w:bCs w:val="0"/>
                <w:color w:val="000000"/>
                <w:sz w:val="21"/>
                <w:szCs w:val="21"/>
              </w:rPr>
              <w:t>湖南省事业单位岗位管理动态调整试行办法</w:t>
            </w:r>
            <w:r>
              <w:rPr>
                <w:rFonts w:hint="eastAsia" w:ascii="仿宋" w:hAnsi="仿宋" w:eastAsia="仿宋" w:cs="仿宋"/>
                <w:b w:val="0"/>
                <w:bCs w:val="0"/>
                <w:sz w:val="21"/>
                <w:szCs w:val="21"/>
                <w:lang w:val="en-US" w:eastAsia="zh-CN"/>
              </w:rPr>
              <w:t>》及《</w:t>
            </w:r>
            <w:r>
              <w:rPr>
                <w:rFonts w:hint="eastAsia" w:ascii="仿宋" w:hAnsi="仿宋" w:eastAsia="仿宋" w:cs="仿宋"/>
                <w:b w:val="0"/>
                <w:bCs w:val="0"/>
                <w:color w:val="000000"/>
                <w:sz w:val="21"/>
                <w:szCs w:val="21"/>
              </w:rPr>
              <w:t>娄底市事业单位岗位管理暂行办法</w:t>
            </w:r>
            <w:r>
              <w:rPr>
                <w:rFonts w:hint="eastAsia" w:ascii="仿宋" w:hAnsi="仿宋" w:eastAsia="仿宋" w:cs="仿宋"/>
                <w:b w:val="0"/>
                <w:bCs w:val="0"/>
                <w:color w:val="000000"/>
                <w:sz w:val="21"/>
                <w:szCs w:val="21"/>
                <w:lang w:eastAsia="zh-CN"/>
              </w:rPr>
              <w:t>》</w:t>
            </w:r>
            <w:r>
              <w:rPr>
                <w:rFonts w:hint="eastAsia" w:ascii="仿宋" w:hAnsi="仿宋" w:eastAsia="仿宋" w:cs="仿宋"/>
                <w:b w:val="0"/>
                <w:bCs w:val="0"/>
                <w:color w:val="000000"/>
                <w:sz w:val="21"/>
                <w:szCs w:val="21"/>
                <w:lang w:val="en-US" w:eastAsia="zh-CN"/>
              </w:rPr>
              <w:t>相关要求，</w:t>
            </w:r>
            <w:r>
              <w:rPr>
                <w:rFonts w:hint="eastAsia" w:ascii="仿宋" w:hAnsi="仿宋" w:eastAsia="仿宋" w:cs="仿宋"/>
                <w:b w:val="0"/>
                <w:bCs w:val="0"/>
                <w:sz w:val="21"/>
                <w:szCs w:val="21"/>
                <w:lang w:val="en-US" w:eastAsia="zh-CN"/>
              </w:rPr>
              <w:t>草拟制定了《娄底职业技术学院岗位晋级暂行办法》《娄底职业技术学院校内人员异动管理办法》，确保专任教师及辅导员队伍的稳定性。</w:t>
            </w:r>
            <w:r>
              <w:rPr>
                <w:rFonts w:hint="eastAsia" w:ascii="仿宋" w:hAnsi="仿宋" w:eastAsia="仿宋" w:cs="仿宋"/>
                <w:b/>
                <w:bCs/>
                <w:sz w:val="21"/>
                <w:szCs w:val="21"/>
                <w:lang w:val="en-US" w:eastAsia="zh-CN"/>
              </w:rPr>
              <w:t>二是</w:t>
            </w:r>
            <w:r>
              <w:rPr>
                <w:rFonts w:hint="eastAsia" w:ascii="仿宋" w:hAnsi="仿宋" w:eastAsia="仿宋" w:cs="仿宋"/>
                <w:b w:val="0"/>
                <w:bCs w:val="0"/>
                <w:sz w:val="21"/>
                <w:szCs w:val="21"/>
                <w:lang w:val="en-US" w:eastAsia="zh-CN"/>
              </w:rPr>
              <w:t>进一步优化岗位设置，草拟制定了《娄底职业技术学院2021年岗位设置实施方案》。</w:t>
            </w:r>
          </w:p>
          <w:p>
            <w:pPr>
              <w:keepNext w:val="0"/>
              <w:keepLines w:val="0"/>
              <w:pageBreakBefore w:val="0"/>
              <w:widowControl w:val="0"/>
              <w:kinsoku/>
              <w:wordWrap/>
              <w:overflowPunct/>
              <w:topLinePunct w:val="0"/>
              <w:autoSpaceDE/>
              <w:autoSpaceDN/>
              <w:bidi w:val="0"/>
              <w:adjustRightInd/>
              <w:snapToGrid/>
              <w:spacing w:line="260" w:lineRule="exact"/>
              <w:ind w:left="0" w:leftChars="0" w:firstLine="0" w:firstLineChars="0"/>
              <w:jc w:val="left"/>
              <w:textAlignment w:val="auto"/>
              <w:rPr>
                <w:rFonts w:hint="eastAsia" w:ascii="仿宋" w:hAnsi="仿宋" w:eastAsia="仿宋" w:cs="仿宋"/>
                <w:b w:val="0"/>
                <w:bCs w:val="0"/>
                <w:color w:val="0000FF"/>
                <w:sz w:val="21"/>
                <w:szCs w:val="21"/>
                <w:lang w:val="en-US" w:eastAsia="zh-CN"/>
              </w:rPr>
            </w:pPr>
            <w:r>
              <w:rPr>
                <w:rFonts w:hint="eastAsia" w:ascii="楷体" w:hAnsi="楷体" w:eastAsia="楷体" w:cs="楷体"/>
                <w:b/>
                <w:bCs/>
                <w:sz w:val="21"/>
                <w:szCs w:val="21"/>
                <w:lang w:val="en-US" w:eastAsia="zh-CN"/>
              </w:rPr>
              <w:t>四、配合上级部门抽调工作。</w:t>
            </w:r>
            <w:r>
              <w:rPr>
                <w:rFonts w:hint="eastAsia" w:ascii="仿宋" w:hAnsi="仿宋" w:eastAsia="仿宋" w:cs="仿宋"/>
                <w:color w:val="auto"/>
                <w:sz w:val="21"/>
                <w:szCs w:val="21"/>
                <w:lang w:val="en-US" w:eastAsia="zh-CN"/>
              </w:rPr>
              <w:t>2017年至2021年期间，多次被抽调到市人社局协助做好全市事业单位人事人才相关业务，娴熟的业务水平和不知疲倦的敬业精神，为事业单位解决不了人事方面的重点难点堵点问题，受到了市人社局和事业单位人事工作者一致好评。2023年受学校领导指派被抽调至外地参加巡察工作，工作中任劳任怨，边巡边学、以巡代训，进一步提升政治素养及政治敏锐性。</w:t>
            </w:r>
          </w:p>
          <w:p>
            <w:pPr>
              <w:keepNext w:val="0"/>
              <w:keepLines w:val="0"/>
              <w:pageBreakBefore w:val="0"/>
              <w:widowControl w:val="0"/>
              <w:kinsoku/>
              <w:wordWrap/>
              <w:overflowPunct/>
              <w:topLinePunct w:val="0"/>
              <w:autoSpaceDE/>
              <w:autoSpaceDN/>
              <w:bidi w:val="0"/>
              <w:adjustRightInd/>
              <w:snapToGrid/>
              <w:spacing w:line="260" w:lineRule="exact"/>
              <w:ind w:left="0" w:leftChars="0" w:firstLine="0" w:firstLineChars="0"/>
              <w:jc w:val="left"/>
              <w:textAlignment w:val="auto"/>
              <w:rPr>
                <w:sz w:val="21"/>
                <w:szCs w:val="21"/>
              </w:rPr>
            </w:pPr>
            <w:r>
              <w:rPr>
                <w:rFonts w:hint="eastAsia" w:ascii="楷体" w:hAnsi="楷体" w:eastAsia="楷体" w:cs="楷体"/>
                <w:b/>
                <w:bCs/>
                <w:color w:val="auto"/>
                <w:sz w:val="21"/>
                <w:szCs w:val="21"/>
                <w:lang w:val="en-US" w:eastAsia="zh-CN"/>
              </w:rPr>
              <w:t>五、基层服务工作有成效。</w:t>
            </w:r>
            <w:r>
              <w:rPr>
                <w:rFonts w:hint="eastAsia" w:ascii="仿宋" w:hAnsi="仿宋" w:eastAsia="仿宋" w:cs="仿宋"/>
                <w:b w:val="0"/>
                <w:bCs w:val="0"/>
                <w:color w:val="auto"/>
                <w:sz w:val="21"/>
                <w:szCs w:val="21"/>
                <w:lang w:val="en-US" w:eastAsia="zh-CN"/>
              </w:rPr>
              <w:t>我始终将基层服务工作视为社会发展的重要基石，深知其直接关系到广大人民群众的切身利益。一是积极投身于娄底所属县市区的巡察工作，以实际行动为基层群众解决实际问题，推动基层治理体系和治理能力现代化。二是加强政治领引，树立服务大局的理念，建立了服务乡村振兴贡献为导向的考评机制，为高</w:t>
            </w:r>
            <w:bookmarkStart w:id="0" w:name="_GoBack"/>
            <w:bookmarkEnd w:id="0"/>
            <w:r>
              <w:rPr>
                <w:rFonts w:hint="eastAsia" w:ascii="仿宋" w:hAnsi="仿宋" w:eastAsia="仿宋" w:cs="仿宋"/>
                <w:b w:val="0"/>
                <w:bCs w:val="0"/>
                <w:color w:val="auto"/>
                <w:sz w:val="21"/>
                <w:szCs w:val="21"/>
                <w:lang w:val="en-US" w:eastAsia="zh-CN"/>
              </w:rPr>
              <w:t>效优质推进乡村振兴服务工作，提供强有力的政策支持。三是加强政策宣传为基层事业单位人事人才统计工作提供政策解读与技术服务。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1061"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sz w:val="21"/>
                <w:szCs w:val="21"/>
              </w:rPr>
            </w:pPr>
            <w:r>
              <w:rPr>
                <w:rFonts w:hint="eastAsia"/>
                <w:sz w:val="21"/>
                <w:szCs w:val="21"/>
              </w:rPr>
              <w:t>所学专业</w:t>
            </w:r>
          </w:p>
        </w:tc>
        <w:tc>
          <w:tcPr>
            <w:tcW w:w="908"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hint="eastAsia" w:eastAsia="宋体"/>
                <w:sz w:val="21"/>
                <w:szCs w:val="21"/>
                <w:lang w:eastAsia="zh-CN"/>
              </w:rPr>
            </w:pPr>
            <w:r>
              <w:rPr>
                <w:rFonts w:hint="eastAsia"/>
                <w:sz w:val="21"/>
                <w:szCs w:val="21"/>
                <w:lang w:eastAsia="zh-CN"/>
              </w:rPr>
              <w:t>经济管理</w:t>
            </w:r>
          </w:p>
        </w:tc>
        <w:tc>
          <w:tcPr>
            <w:tcW w:w="1842" w:type="dxa"/>
            <w:gridSpan w:val="5"/>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sz w:val="21"/>
                <w:szCs w:val="21"/>
              </w:rPr>
            </w:pPr>
            <w:r>
              <w:rPr>
                <w:rFonts w:hint="eastAsia"/>
                <w:sz w:val="21"/>
                <w:szCs w:val="21"/>
              </w:rPr>
              <w:t>现从事专业</w:t>
            </w:r>
          </w:p>
        </w:tc>
        <w:tc>
          <w:tcPr>
            <w:tcW w:w="1556" w:type="dxa"/>
            <w:gridSpan w:val="3"/>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hint="eastAsia" w:ascii="Times New Roman" w:hAnsi="Times New Roman" w:eastAsia="宋体" w:cs="Times New Roman"/>
                <w:sz w:val="21"/>
                <w:szCs w:val="21"/>
                <w:lang w:eastAsia="zh-CN"/>
              </w:rPr>
            </w:pPr>
            <w:r>
              <w:rPr>
                <w:rFonts w:hint="eastAsia" w:ascii="Times New Roman" w:hAnsi="Times New Roman" w:eastAsia="宋体" w:cs="Times New Roman"/>
                <w:sz w:val="21"/>
                <w:szCs w:val="21"/>
                <w:lang w:eastAsia="zh-CN"/>
              </w:rPr>
              <w:t>思想政治工作</w:t>
            </w:r>
          </w:p>
        </w:tc>
        <w:tc>
          <w:tcPr>
            <w:tcW w:w="1436" w:type="dxa"/>
            <w:vMerge w:val="continue"/>
            <w:tcBorders>
              <w:left w:val="single" w:color="auto" w:sz="4" w:space="0"/>
              <w:right w:val="single" w:color="auto" w:sz="4" w:space="0"/>
            </w:tcBorders>
            <w:noWrap w:val="0"/>
            <w:vAlign w:val="bottom"/>
          </w:tcPr>
          <w:p>
            <w:pPr>
              <w:spacing w:line="280" w:lineRule="exact"/>
              <w:ind w:left="180"/>
              <w:jc w:val="center"/>
              <w:rPr>
                <w:sz w:val="21"/>
                <w:szCs w:val="21"/>
              </w:rPr>
            </w:pPr>
          </w:p>
        </w:tc>
        <w:tc>
          <w:tcPr>
            <w:tcW w:w="14933" w:type="dxa"/>
            <w:vMerge w:val="continue"/>
            <w:tcBorders>
              <w:left w:val="single" w:color="auto" w:sz="4" w:space="0"/>
              <w:right w:val="single" w:color="auto" w:sz="4" w:space="0"/>
            </w:tcBorders>
            <w:noWrap w:val="0"/>
            <w:vAlign w:val="top"/>
          </w:tcPr>
          <w:p>
            <w:pPr>
              <w:spacing w:line="280" w:lineRule="exact"/>
              <w:ind w:left="18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1061"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sz w:val="21"/>
                <w:szCs w:val="21"/>
              </w:rPr>
            </w:pPr>
            <w:r>
              <w:rPr>
                <w:rFonts w:hint="eastAsia"/>
                <w:sz w:val="21"/>
                <w:szCs w:val="21"/>
              </w:rPr>
              <w:t>外语成绩</w:t>
            </w:r>
          </w:p>
        </w:tc>
        <w:tc>
          <w:tcPr>
            <w:tcW w:w="908"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hint="default" w:eastAsia="宋体"/>
                <w:sz w:val="21"/>
                <w:szCs w:val="21"/>
                <w:lang w:val="en-US" w:eastAsia="zh-CN"/>
              </w:rPr>
            </w:pPr>
            <w:r>
              <w:rPr>
                <w:rFonts w:hint="eastAsia"/>
                <w:sz w:val="21"/>
                <w:szCs w:val="21"/>
                <w:lang w:val="en-US" w:eastAsia="zh-CN"/>
              </w:rPr>
              <w:t>A级68分</w:t>
            </w:r>
          </w:p>
        </w:tc>
        <w:tc>
          <w:tcPr>
            <w:tcW w:w="1842" w:type="dxa"/>
            <w:gridSpan w:val="5"/>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sz w:val="21"/>
                <w:szCs w:val="21"/>
              </w:rPr>
            </w:pPr>
            <w:r>
              <w:rPr>
                <w:rFonts w:hint="eastAsia"/>
                <w:sz w:val="21"/>
                <w:szCs w:val="21"/>
              </w:rPr>
              <w:t>继续教育情况</w:t>
            </w:r>
          </w:p>
        </w:tc>
        <w:tc>
          <w:tcPr>
            <w:tcW w:w="1556" w:type="dxa"/>
            <w:gridSpan w:val="3"/>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hint="eastAsia" w:ascii="Times New Roman" w:hAnsi="Times New Roman" w:eastAsia="宋体" w:cs="Times New Roman"/>
                <w:sz w:val="21"/>
                <w:szCs w:val="21"/>
                <w:lang w:eastAsia="zh-CN"/>
              </w:rPr>
            </w:pPr>
            <w:r>
              <w:rPr>
                <w:rFonts w:hint="eastAsia" w:ascii="Times New Roman" w:hAnsi="Times New Roman" w:eastAsia="宋体" w:cs="Times New Roman"/>
                <w:sz w:val="21"/>
                <w:szCs w:val="21"/>
                <w:lang w:eastAsia="zh-CN"/>
              </w:rPr>
              <w:t>合格</w:t>
            </w:r>
          </w:p>
        </w:tc>
        <w:tc>
          <w:tcPr>
            <w:tcW w:w="1436" w:type="dxa"/>
            <w:vMerge w:val="continue"/>
            <w:tcBorders>
              <w:left w:val="single" w:color="auto" w:sz="4" w:space="0"/>
              <w:right w:val="single" w:color="auto" w:sz="4" w:space="0"/>
            </w:tcBorders>
            <w:noWrap w:val="0"/>
            <w:vAlign w:val="bottom"/>
          </w:tcPr>
          <w:p>
            <w:pPr>
              <w:spacing w:line="280" w:lineRule="exact"/>
              <w:jc w:val="center"/>
              <w:rPr>
                <w:sz w:val="21"/>
                <w:szCs w:val="21"/>
              </w:rPr>
            </w:pPr>
          </w:p>
        </w:tc>
        <w:tc>
          <w:tcPr>
            <w:tcW w:w="14933" w:type="dxa"/>
            <w:vMerge w:val="continue"/>
            <w:tcBorders>
              <w:left w:val="single" w:color="auto" w:sz="4" w:space="0"/>
              <w:right w:val="single" w:color="auto" w:sz="4" w:space="0"/>
            </w:tcBorders>
            <w:noWrap w:val="0"/>
            <w:vAlign w:val="top"/>
          </w:tcPr>
          <w:p>
            <w:pPr>
              <w:spacing w:line="280" w:lineRule="exact"/>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1061"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sz w:val="21"/>
                <w:szCs w:val="21"/>
              </w:rPr>
            </w:pPr>
            <w:r>
              <w:rPr>
                <w:rFonts w:hint="eastAsia"/>
                <w:spacing w:val="0"/>
                <w:sz w:val="21"/>
                <w:szCs w:val="21"/>
              </w:rPr>
              <w:t>计算机成绩</w:t>
            </w:r>
          </w:p>
        </w:tc>
        <w:tc>
          <w:tcPr>
            <w:tcW w:w="908"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hint="eastAsia" w:eastAsia="宋体"/>
                <w:sz w:val="21"/>
                <w:szCs w:val="21"/>
                <w:lang w:eastAsia="zh-CN"/>
              </w:rPr>
            </w:pPr>
            <w:r>
              <w:rPr>
                <w:rFonts w:hint="eastAsia"/>
                <w:sz w:val="21"/>
                <w:szCs w:val="21"/>
                <w:lang w:eastAsia="zh-CN"/>
              </w:rPr>
              <w:t>合格</w:t>
            </w:r>
          </w:p>
        </w:tc>
        <w:tc>
          <w:tcPr>
            <w:tcW w:w="1842" w:type="dxa"/>
            <w:gridSpan w:val="5"/>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sz w:val="21"/>
                <w:szCs w:val="21"/>
              </w:rPr>
            </w:pPr>
            <w:r>
              <w:rPr>
                <w:rFonts w:hint="eastAsia"/>
                <w:sz w:val="21"/>
                <w:szCs w:val="21"/>
              </w:rPr>
              <w:t>是否破格</w:t>
            </w:r>
          </w:p>
        </w:tc>
        <w:tc>
          <w:tcPr>
            <w:tcW w:w="1556" w:type="dxa"/>
            <w:gridSpan w:val="3"/>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hint="eastAsia" w:ascii="Times New Roman" w:hAnsi="Times New Roman" w:eastAsia="宋体" w:cs="Times New Roman"/>
                <w:sz w:val="21"/>
                <w:szCs w:val="21"/>
                <w:lang w:eastAsia="zh-CN"/>
              </w:rPr>
            </w:pPr>
            <w:r>
              <w:rPr>
                <w:rFonts w:hint="eastAsia" w:ascii="Times New Roman" w:hAnsi="Times New Roman" w:eastAsia="宋体" w:cs="Times New Roman"/>
                <w:sz w:val="21"/>
                <w:szCs w:val="21"/>
                <w:lang w:eastAsia="zh-CN"/>
              </w:rPr>
              <w:t>否</w:t>
            </w:r>
          </w:p>
        </w:tc>
        <w:tc>
          <w:tcPr>
            <w:tcW w:w="1436" w:type="dxa"/>
            <w:vMerge w:val="continue"/>
            <w:tcBorders>
              <w:left w:val="single" w:color="auto" w:sz="4" w:space="0"/>
              <w:right w:val="single" w:color="auto" w:sz="4" w:space="0"/>
            </w:tcBorders>
            <w:noWrap w:val="0"/>
            <w:vAlign w:val="bottom"/>
          </w:tcPr>
          <w:p>
            <w:pPr>
              <w:spacing w:line="280" w:lineRule="exact"/>
              <w:jc w:val="center"/>
              <w:rPr>
                <w:sz w:val="21"/>
                <w:szCs w:val="21"/>
              </w:rPr>
            </w:pPr>
          </w:p>
        </w:tc>
        <w:tc>
          <w:tcPr>
            <w:tcW w:w="14933" w:type="dxa"/>
            <w:vMerge w:val="continue"/>
            <w:tcBorders>
              <w:left w:val="single" w:color="auto" w:sz="4" w:space="0"/>
              <w:right w:val="single" w:color="auto" w:sz="4" w:space="0"/>
            </w:tcBorders>
            <w:noWrap w:val="0"/>
            <w:vAlign w:val="top"/>
          </w:tcPr>
          <w:p>
            <w:pPr>
              <w:spacing w:line="280" w:lineRule="exact"/>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1969" w:type="dxa"/>
            <w:gridSpan w:val="3"/>
            <w:tcBorders>
              <w:top w:val="single" w:color="auto" w:sz="4" w:space="0"/>
              <w:left w:val="single" w:color="auto" w:sz="4" w:space="0"/>
              <w:right w:val="single" w:color="auto" w:sz="4" w:space="0"/>
            </w:tcBorders>
            <w:noWrap w:val="0"/>
            <w:vAlign w:val="center"/>
          </w:tcPr>
          <w:p>
            <w:pPr>
              <w:spacing w:line="280" w:lineRule="exact"/>
              <w:jc w:val="center"/>
              <w:rPr>
                <w:rFonts w:hint="eastAsia"/>
                <w:sz w:val="21"/>
                <w:szCs w:val="21"/>
              </w:rPr>
            </w:pPr>
            <w:r>
              <w:rPr>
                <w:rFonts w:hint="eastAsia"/>
                <w:sz w:val="21"/>
                <w:szCs w:val="21"/>
              </w:rPr>
              <w:t>最后学历及毕业时间</w:t>
            </w:r>
          </w:p>
        </w:tc>
        <w:tc>
          <w:tcPr>
            <w:tcW w:w="3398" w:type="dxa"/>
            <w:gridSpan w:val="8"/>
            <w:tcBorders>
              <w:top w:val="single" w:color="auto" w:sz="4" w:space="0"/>
              <w:left w:val="single" w:color="auto" w:sz="4" w:space="0"/>
              <w:right w:val="single" w:color="auto" w:sz="4" w:space="0"/>
            </w:tcBorders>
            <w:noWrap w:val="0"/>
            <w:vAlign w:val="center"/>
          </w:tcPr>
          <w:p>
            <w:pPr>
              <w:spacing w:line="280" w:lineRule="exact"/>
              <w:jc w:val="center"/>
              <w:rPr>
                <w:rFonts w:hint="default" w:eastAsia="宋体"/>
                <w:sz w:val="21"/>
                <w:szCs w:val="21"/>
                <w:lang w:val="en-US" w:eastAsia="zh-CN"/>
              </w:rPr>
            </w:pPr>
            <w:r>
              <w:rPr>
                <w:rFonts w:hint="eastAsia"/>
                <w:sz w:val="21"/>
                <w:szCs w:val="21"/>
                <w:lang w:eastAsia="zh-CN"/>
              </w:rPr>
              <w:t>本科</w:t>
            </w:r>
            <w:r>
              <w:rPr>
                <w:rFonts w:hint="eastAsia"/>
                <w:sz w:val="21"/>
                <w:szCs w:val="21"/>
                <w:lang w:val="en-US" w:eastAsia="zh-CN"/>
              </w:rPr>
              <w:t>2002.12</w:t>
            </w:r>
          </w:p>
        </w:tc>
        <w:tc>
          <w:tcPr>
            <w:tcW w:w="1436" w:type="dxa"/>
            <w:vMerge w:val="continue"/>
            <w:tcBorders>
              <w:left w:val="single" w:color="auto" w:sz="4" w:space="0"/>
              <w:right w:val="single" w:color="auto" w:sz="4" w:space="0"/>
            </w:tcBorders>
            <w:noWrap w:val="0"/>
            <w:vAlign w:val="bottom"/>
          </w:tcPr>
          <w:p>
            <w:pPr>
              <w:spacing w:line="280" w:lineRule="exact"/>
              <w:jc w:val="center"/>
              <w:rPr>
                <w:sz w:val="21"/>
                <w:szCs w:val="21"/>
              </w:rPr>
            </w:pPr>
          </w:p>
        </w:tc>
        <w:tc>
          <w:tcPr>
            <w:tcW w:w="14933" w:type="dxa"/>
            <w:vMerge w:val="continue"/>
            <w:tcBorders>
              <w:left w:val="single" w:color="auto" w:sz="4" w:space="0"/>
              <w:right w:val="single" w:color="auto" w:sz="4" w:space="0"/>
            </w:tcBorders>
            <w:noWrap w:val="0"/>
            <w:vAlign w:val="top"/>
          </w:tcPr>
          <w:p>
            <w:pPr>
              <w:spacing w:line="280" w:lineRule="exact"/>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1969" w:type="dxa"/>
            <w:gridSpan w:val="3"/>
            <w:tcBorders>
              <w:top w:val="single" w:color="auto" w:sz="4" w:space="0"/>
              <w:left w:val="single" w:color="auto" w:sz="4" w:space="0"/>
              <w:right w:val="single" w:color="auto" w:sz="4" w:space="0"/>
            </w:tcBorders>
            <w:noWrap w:val="0"/>
            <w:vAlign w:val="center"/>
          </w:tcPr>
          <w:p>
            <w:pPr>
              <w:spacing w:line="280" w:lineRule="exact"/>
              <w:jc w:val="center"/>
              <w:rPr>
                <w:rFonts w:hint="eastAsia" w:ascii="Times New Roman" w:hAnsi="Times New Roman" w:eastAsia="宋体" w:cs="Times New Roman"/>
                <w:kern w:val="2"/>
                <w:sz w:val="21"/>
                <w:szCs w:val="21"/>
                <w:lang w:val="en-US" w:eastAsia="zh-CN" w:bidi="ar-SA"/>
              </w:rPr>
            </w:pPr>
            <w:r>
              <w:rPr>
                <w:rFonts w:hint="eastAsia"/>
                <w:spacing w:val="0"/>
                <w:sz w:val="21"/>
                <w:szCs w:val="21"/>
              </w:rPr>
              <w:t>现任专技职称名称及时间</w:t>
            </w:r>
          </w:p>
        </w:tc>
        <w:tc>
          <w:tcPr>
            <w:tcW w:w="3398" w:type="dxa"/>
            <w:gridSpan w:val="8"/>
            <w:tcBorders>
              <w:top w:val="single" w:color="auto" w:sz="4" w:space="0"/>
              <w:left w:val="single" w:color="auto" w:sz="4" w:space="0"/>
              <w:right w:val="single" w:color="auto" w:sz="4" w:space="0"/>
            </w:tcBorders>
            <w:noWrap w:val="0"/>
            <w:vAlign w:val="center"/>
          </w:tcPr>
          <w:p>
            <w:pPr>
              <w:spacing w:line="280" w:lineRule="exact"/>
              <w:jc w:val="center"/>
              <w:rPr>
                <w:rFonts w:hint="eastAsia"/>
                <w:sz w:val="21"/>
                <w:szCs w:val="21"/>
              </w:rPr>
            </w:pPr>
            <w:r>
              <w:rPr>
                <w:rFonts w:hint="eastAsia"/>
                <w:sz w:val="21"/>
                <w:szCs w:val="21"/>
                <w:lang w:eastAsia="zh-CN"/>
              </w:rPr>
              <w:t>政工师</w:t>
            </w:r>
            <w:r>
              <w:rPr>
                <w:rFonts w:hint="eastAsia"/>
                <w:sz w:val="21"/>
                <w:szCs w:val="21"/>
                <w:lang w:val="en-US" w:eastAsia="zh-CN"/>
              </w:rPr>
              <w:t>2012.12</w:t>
            </w:r>
          </w:p>
        </w:tc>
        <w:tc>
          <w:tcPr>
            <w:tcW w:w="1436" w:type="dxa"/>
            <w:vMerge w:val="continue"/>
            <w:tcBorders>
              <w:left w:val="single" w:color="auto" w:sz="4" w:space="0"/>
              <w:right w:val="single" w:color="auto" w:sz="4" w:space="0"/>
            </w:tcBorders>
            <w:noWrap w:val="0"/>
            <w:vAlign w:val="bottom"/>
          </w:tcPr>
          <w:p>
            <w:pPr>
              <w:spacing w:line="280" w:lineRule="exact"/>
              <w:jc w:val="center"/>
              <w:rPr>
                <w:rFonts w:hint="eastAsia"/>
                <w:sz w:val="21"/>
                <w:szCs w:val="21"/>
              </w:rPr>
            </w:pPr>
          </w:p>
        </w:tc>
        <w:tc>
          <w:tcPr>
            <w:tcW w:w="14933" w:type="dxa"/>
            <w:vMerge w:val="continue"/>
            <w:tcBorders>
              <w:left w:val="single" w:color="auto" w:sz="4" w:space="0"/>
              <w:right w:val="single" w:color="auto" w:sz="4" w:space="0"/>
            </w:tcBorders>
            <w:noWrap w:val="0"/>
            <w:vAlign w:val="top"/>
          </w:tcPr>
          <w:p>
            <w:pPr>
              <w:spacing w:line="280" w:lineRule="exact"/>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1969" w:type="dxa"/>
            <w:gridSpan w:val="3"/>
            <w:tcBorders>
              <w:top w:val="single" w:color="auto" w:sz="4" w:space="0"/>
              <w:left w:val="single" w:color="auto" w:sz="4" w:space="0"/>
              <w:right w:val="single" w:color="auto" w:sz="4" w:space="0"/>
            </w:tcBorders>
            <w:noWrap w:val="0"/>
            <w:vAlign w:val="center"/>
          </w:tcPr>
          <w:p>
            <w:pPr>
              <w:spacing w:line="280" w:lineRule="exact"/>
              <w:jc w:val="center"/>
              <w:rPr>
                <w:rFonts w:hint="eastAsia" w:ascii="Times New Roman" w:hAnsi="Times New Roman" w:eastAsia="宋体" w:cs="Times New Roman"/>
                <w:kern w:val="2"/>
                <w:sz w:val="21"/>
                <w:szCs w:val="21"/>
                <w:lang w:val="en-US" w:eastAsia="zh-CN" w:bidi="ar-SA"/>
              </w:rPr>
            </w:pPr>
            <w:r>
              <w:rPr>
                <w:rFonts w:hint="eastAsia"/>
                <w:sz w:val="21"/>
                <w:szCs w:val="21"/>
              </w:rPr>
              <w:t>拟申报何专技职称</w:t>
            </w:r>
          </w:p>
        </w:tc>
        <w:tc>
          <w:tcPr>
            <w:tcW w:w="3398" w:type="dxa"/>
            <w:gridSpan w:val="8"/>
            <w:tcBorders>
              <w:top w:val="single" w:color="auto" w:sz="4" w:space="0"/>
              <w:left w:val="single" w:color="auto" w:sz="4" w:space="0"/>
              <w:right w:val="single" w:color="auto" w:sz="4" w:space="0"/>
            </w:tcBorders>
            <w:noWrap w:val="0"/>
            <w:vAlign w:val="center"/>
          </w:tcPr>
          <w:p>
            <w:pPr>
              <w:spacing w:line="280" w:lineRule="exact"/>
              <w:jc w:val="center"/>
              <w:rPr>
                <w:rFonts w:hint="eastAsia"/>
                <w:sz w:val="21"/>
                <w:szCs w:val="21"/>
              </w:rPr>
            </w:pPr>
            <w:r>
              <w:rPr>
                <w:rFonts w:hint="eastAsia"/>
                <w:sz w:val="21"/>
                <w:szCs w:val="21"/>
                <w:lang w:eastAsia="zh-CN"/>
              </w:rPr>
              <w:t>高级政工师</w:t>
            </w:r>
          </w:p>
        </w:tc>
        <w:tc>
          <w:tcPr>
            <w:tcW w:w="1436" w:type="dxa"/>
            <w:vMerge w:val="continue"/>
            <w:tcBorders>
              <w:left w:val="single" w:color="auto" w:sz="4" w:space="0"/>
              <w:right w:val="single" w:color="auto" w:sz="4" w:space="0"/>
            </w:tcBorders>
            <w:noWrap w:val="0"/>
            <w:vAlign w:val="bottom"/>
          </w:tcPr>
          <w:p>
            <w:pPr>
              <w:spacing w:line="280" w:lineRule="exact"/>
              <w:jc w:val="center"/>
              <w:rPr>
                <w:rFonts w:hint="eastAsia"/>
                <w:sz w:val="21"/>
                <w:szCs w:val="21"/>
              </w:rPr>
            </w:pPr>
          </w:p>
        </w:tc>
        <w:tc>
          <w:tcPr>
            <w:tcW w:w="14933" w:type="dxa"/>
            <w:vMerge w:val="continue"/>
            <w:tcBorders>
              <w:left w:val="single" w:color="auto" w:sz="4" w:space="0"/>
              <w:right w:val="single" w:color="auto" w:sz="4" w:space="0"/>
            </w:tcBorders>
            <w:noWrap w:val="0"/>
            <w:vAlign w:val="top"/>
          </w:tcPr>
          <w:p>
            <w:pPr>
              <w:spacing w:line="280" w:lineRule="exact"/>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3" w:hRule="atLeast"/>
        </w:trPr>
        <w:tc>
          <w:tcPr>
            <w:tcW w:w="5367" w:type="dxa"/>
            <w:gridSpan w:val="11"/>
            <w:tcBorders>
              <w:top w:val="single" w:color="auto" w:sz="4" w:space="0"/>
              <w:left w:val="single" w:color="auto" w:sz="4" w:space="0"/>
              <w:right w:val="single" w:color="auto" w:sz="4" w:space="0"/>
            </w:tcBorders>
            <w:noWrap w:val="0"/>
            <w:vAlign w:val="center"/>
          </w:tcPr>
          <w:p>
            <w:pPr>
              <w:spacing w:line="280" w:lineRule="exact"/>
              <w:jc w:val="center"/>
              <w:rPr>
                <w:rFonts w:hint="eastAsia"/>
                <w:sz w:val="21"/>
                <w:szCs w:val="21"/>
              </w:rPr>
            </w:pPr>
            <w:r>
              <w:rPr>
                <w:rFonts w:hint="eastAsia"/>
                <w:sz w:val="21"/>
                <w:szCs w:val="21"/>
              </w:rPr>
              <w:t>学习经历和工作经历</w:t>
            </w:r>
          </w:p>
        </w:tc>
        <w:tc>
          <w:tcPr>
            <w:tcW w:w="1436" w:type="dxa"/>
            <w:vMerge w:val="continue"/>
            <w:tcBorders>
              <w:left w:val="single" w:color="auto" w:sz="4" w:space="0"/>
              <w:right w:val="single" w:color="auto" w:sz="4" w:space="0"/>
            </w:tcBorders>
            <w:noWrap w:val="0"/>
            <w:vAlign w:val="bottom"/>
          </w:tcPr>
          <w:p>
            <w:pPr>
              <w:spacing w:line="280" w:lineRule="exact"/>
              <w:jc w:val="center"/>
              <w:rPr>
                <w:rFonts w:hint="eastAsia"/>
                <w:sz w:val="21"/>
                <w:szCs w:val="21"/>
              </w:rPr>
            </w:pPr>
          </w:p>
        </w:tc>
        <w:tc>
          <w:tcPr>
            <w:tcW w:w="14933" w:type="dxa"/>
            <w:vMerge w:val="continue"/>
            <w:tcBorders>
              <w:left w:val="single" w:color="auto" w:sz="4" w:space="0"/>
              <w:right w:val="single" w:color="auto" w:sz="4" w:space="0"/>
            </w:tcBorders>
            <w:noWrap w:val="0"/>
            <w:vAlign w:val="top"/>
          </w:tcPr>
          <w:p>
            <w:pPr>
              <w:spacing w:line="280" w:lineRule="exact"/>
              <w:jc w:val="center"/>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1887"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hint="eastAsia"/>
                <w:sz w:val="21"/>
                <w:szCs w:val="21"/>
              </w:rPr>
            </w:pPr>
            <w:r>
              <w:rPr>
                <w:rFonts w:hint="eastAsia"/>
                <w:sz w:val="21"/>
                <w:szCs w:val="21"/>
              </w:rPr>
              <w:t>起止年月</w:t>
            </w:r>
          </w:p>
        </w:tc>
        <w:tc>
          <w:tcPr>
            <w:tcW w:w="2610" w:type="dxa"/>
            <w:gridSpan w:val="8"/>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hint="default" w:eastAsia="宋体"/>
                <w:sz w:val="21"/>
                <w:szCs w:val="21"/>
                <w:lang w:val="en-US" w:eastAsia="zh-CN"/>
              </w:rPr>
            </w:pPr>
            <w:r>
              <w:rPr>
                <w:rFonts w:hint="eastAsia"/>
                <w:sz w:val="21"/>
                <w:szCs w:val="21"/>
              </w:rPr>
              <w:t>在何单位从事何工作任何职务</w:t>
            </w:r>
          </w:p>
        </w:tc>
        <w:tc>
          <w:tcPr>
            <w:tcW w:w="870"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hint="default" w:eastAsia="宋体"/>
                <w:sz w:val="21"/>
                <w:szCs w:val="21"/>
                <w:lang w:val="en-US" w:eastAsia="zh-CN"/>
              </w:rPr>
            </w:pPr>
            <w:r>
              <w:rPr>
                <w:rFonts w:hint="eastAsia"/>
                <w:sz w:val="21"/>
                <w:szCs w:val="21"/>
              </w:rPr>
              <w:t>证明人</w:t>
            </w:r>
          </w:p>
        </w:tc>
        <w:tc>
          <w:tcPr>
            <w:tcW w:w="1436" w:type="dxa"/>
            <w:vMerge w:val="restart"/>
            <w:tcBorders>
              <w:left w:val="single" w:color="auto" w:sz="4" w:space="0"/>
              <w:right w:val="single" w:color="auto" w:sz="4" w:space="0"/>
            </w:tcBorders>
            <w:noWrap w:val="0"/>
            <w:vAlign w:val="top"/>
          </w:tcPr>
          <w:p>
            <w:pPr>
              <w:spacing w:line="280" w:lineRule="exact"/>
              <w:jc w:val="center"/>
              <w:rPr>
                <w:rFonts w:hint="eastAsia"/>
                <w:sz w:val="21"/>
                <w:szCs w:val="21"/>
              </w:rPr>
            </w:pPr>
            <w:r>
              <w:rPr>
                <w:rFonts w:hint="eastAsia"/>
                <w:sz w:val="21"/>
                <w:szCs w:val="21"/>
              </w:rPr>
              <w:t>承担或参与的科研项目及鉴定</w:t>
            </w:r>
            <w:r>
              <w:rPr>
                <w:rFonts w:hint="eastAsia" w:ascii="宋体"/>
                <w:sz w:val="21"/>
                <w:szCs w:val="21"/>
              </w:rPr>
              <w:t>、</w:t>
            </w:r>
            <w:r>
              <w:rPr>
                <w:rFonts w:hint="eastAsia"/>
                <w:sz w:val="21"/>
                <w:szCs w:val="21"/>
              </w:rPr>
              <w:t>获</w:t>
            </w:r>
          </w:p>
          <w:p>
            <w:pPr>
              <w:spacing w:line="280" w:lineRule="exact"/>
              <w:jc w:val="center"/>
              <w:rPr>
                <w:rFonts w:hint="eastAsia"/>
                <w:sz w:val="21"/>
                <w:szCs w:val="21"/>
              </w:rPr>
            </w:pPr>
            <w:r>
              <w:rPr>
                <w:rFonts w:hint="eastAsia"/>
                <w:sz w:val="21"/>
                <w:szCs w:val="21"/>
              </w:rPr>
              <w:t>奖  情  况</w:t>
            </w:r>
          </w:p>
        </w:tc>
        <w:tc>
          <w:tcPr>
            <w:tcW w:w="14933" w:type="dxa"/>
            <w:vMerge w:val="restart"/>
            <w:tcBorders>
              <w:left w:val="single" w:color="auto" w:sz="4" w:space="0"/>
              <w:right w:val="single" w:color="auto" w:sz="4" w:space="0"/>
            </w:tcBorders>
            <w:noWrap w:val="0"/>
            <w:vAlign w:val="top"/>
          </w:tcPr>
          <w:p>
            <w:pPr>
              <w:pStyle w:val="2"/>
              <w:keepNext w:val="0"/>
              <w:keepLines w:val="0"/>
              <w:pageBreakBefore w:val="0"/>
              <w:widowControl w:val="0"/>
              <w:kinsoku/>
              <w:wordWrap/>
              <w:overflowPunct/>
              <w:topLinePunct w:val="0"/>
              <w:autoSpaceDE/>
              <w:autoSpaceDN/>
              <w:bidi w:val="0"/>
              <w:adjustRightInd/>
              <w:snapToGrid/>
              <w:spacing w:beforeAutospacing="0" w:afterAutospacing="0" w:line="280" w:lineRule="exact"/>
              <w:ind w:right="0" w:rightChars="0"/>
              <w:jc w:val="left"/>
              <w:textAlignment w:val="auto"/>
              <w:rPr>
                <w:rFonts w:hint="eastAsia" w:ascii="仿宋" w:hAnsi="仿宋" w:eastAsia="仿宋" w:cs="仿宋"/>
                <w:b w:val="0"/>
                <w:bCs w:val="0"/>
                <w:spacing w:val="0"/>
                <w:kern w:val="2"/>
                <w:sz w:val="21"/>
                <w:szCs w:val="21"/>
                <w:lang w:val="en-US" w:eastAsia="zh-CN" w:bidi="ar-SA"/>
              </w:rPr>
            </w:pPr>
            <w:r>
              <w:rPr>
                <w:rFonts w:hint="eastAsia" w:ascii="仿宋" w:hAnsi="仿宋" w:eastAsia="仿宋" w:cs="仿宋"/>
                <w:b w:val="0"/>
                <w:bCs w:val="0"/>
                <w:spacing w:val="0"/>
                <w:kern w:val="2"/>
                <w:sz w:val="21"/>
                <w:szCs w:val="21"/>
                <w:lang w:val="en-US" w:eastAsia="zh-CN" w:bidi="ar-SA"/>
              </w:rPr>
              <w:t>1.主持娄底市哲学社会科学成果评审委员会2023年度立项课题《娄底加快建设全省人才副中心城市研究》，课题批准号202328B，已结题。</w:t>
            </w:r>
          </w:p>
          <w:p>
            <w:pPr>
              <w:pStyle w:val="2"/>
              <w:keepNext w:val="0"/>
              <w:keepLines w:val="0"/>
              <w:pageBreakBefore w:val="0"/>
              <w:widowControl w:val="0"/>
              <w:kinsoku/>
              <w:wordWrap/>
              <w:overflowPunct/>
              <w:topLinePunct w:val="0"/>
              <w:autoSpaceDE/>
              <w:autoSpaceDN/>
              <w:bidi w:val="0"/>
              <w:adjustRightInd/>
              <w:snapToGrid/>
              <w:spacing w:beforeAutospacing="0" w:afterAutospacing="0" w:line="280" w:lineRule="exact"/>
              <w:ind w:right="0" w:rightChars="0"/>
              <w:jc w:val="left"/>
              <w:textAlignment w:val="auto"/>
              <w:rPr>
                <w:rFonts w:hint="eastAsia" w:ascii="仿宋" w:hAnsi="仿宋" w:eastAsia="仿宋" w:cs="仿宋"/>
                <w:b w:val="0"/>
                <w:bCs w:val="0"/>
                <w:spacing w:val="0"/>
                <w:kern w:val="2"/>
                <w:sz w:val="21"/>
                <w:szCs w:val="21"/>
                <w:lang w:val="en-US" w:eastAsia="zh-CN" w:bidi="ar-SA"/>
              </w:rPr>
            </w:pPr>
            <w:r>
              <w:rPr>
                <w:rFonts w:hint="eastAsia" w:ascii="仿宋" w:hAnsi="仿宋" w:eastAsia="仿宋" w:cs="仿宋"/>
                <w:b w:val="0"/>
                <w:bCs w:val="0"/>
                <w:spacing w:val="0"/>
                <w:kern w:val="2"/>
                <w:sz w:val="21"/>
                <w:szCs w:val="21"/>
                <w:lang w:val="en-US" w:eastAsia="zh-CN" w:bidi="ar-SA"/>
              </w:rPr>
              <w:t>2.主持娄底市哲学社会科学成果评审委员会2024年度立项课题《网络舆情视阈下高校学生安全风险管理研究》课题批准号</w:t>
            </w:r>
            <w:r>
              <w:rPr>
                <w:rFonts w:hint="eastAsia" w:ascii="仿宋" w:hAnsi="仿宋" w:eastAsia="仿宋" w:cs="仿宋"/>
                <w:b w:val="0"/>
                <w:bCs w:val="0"/>
                <w:color w:val="auto"/>
                <w:spacing w:val="0"/>
                <w:kern w:val="2"/>
                <w:sz w:val="21"/>
                <w:szCs w:val="21"/>
                <w:lang w:val="en-US" w:eastAsia="zh-CN" w:bidi="ar-SA"/>
              </w:rPr>
              <w:t>202454B；</w:t>
            </w:r>
            <w:r>
              <w:rPr>
                <w:rFonts w:hint="eastAsia" w:ascii="仿宋" w:hAnsi="仿宋" w:eastAsia="仿宋" w:cs="仿宋"/>
                <w:b w:val="0"/>
                <w:bCs w:val="0"/>
                <w:spacing w:val="0"/>
                <w:kern w:val="2"/>
                <w:sz w:val="21"/>
                <w:szCs w:val="21"/>
                <w:lang w:val="en-US" w:eastAsia="zh-CN" w:bidi="ar-SA"/>
              </w:rPr>
              <w:t>已立项。</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3.主要参与湖南省“十四五”规划课题《</w:t>
            </w:r>
            <w:r>
              <w:rPr>
                <w:rFonts w:hint="eastAsia" w:ascii="仿宋" w:hAnsi="仿宋" w:eastAsia="仿宋" w:cs="仿宋"/>
                <w:color w:val="auto"/>
                <w:sz w:val="21"/>
                <w:szCs w:val="21"/>
                <w:lang w:eastAsia="zh-CN"/>
              </w:rPr>
              <w:t>乡村振兴视域下的村官培育长效机制研究</w:t>
            </w:r>
            <w:r>
              <w:rPr>
                <w:rFonts w:hint="eastAsia" w:ascii="仿宋" w:hAnsi="仿宋" w:eastAsia="仿宋" w:cs="仿宋"/>
                <w:color w:val="auto"/>
                <w:sz w:val="21"/>
                <w:szCs w:val="21"/>
                <w:lang w:val="en-US" w:eastAsia="zh-CN"/>
              </w:rPr>
              <w:t>》，课题批准号：</w:t>
            </w:r>
            <w:r>
              <w:rPr>
                <w:rFonts w:hint="eastAsia" w:ascii="仿宋" w:hAnsi="仿宋" w:eastAsia="仿宋" w:cs="仿宋"/>
                <w:color w:val="auto"/>
                <w:sz w:val="21"/>
                <w:szCs w:val="21"/>
                <w:lang w:eastAsia="zh-CN"/>
              </w:rPr>
              <w:t>XJK22CZY025</w:t>
            </w:r>
            <w:r>
              <w:rPr>
                <w:rFonts w:hint="eastAsia" w:ascii="仿宋" w:hAnsi="仿宋" w:eastAsia="仿宋" w:cs="仿宋"/>
                <w:color w:val="auto"/>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4.主要</w:t>
            </w:r>
            <w:r>
              <w:rPr>
                <w:rFonts w:hint="eastAsia" w:ascii="仿宋" w:hAnsi="仿宋" w:eastAsia="仿宋" w:cs="仿宋"/>
                <w:color w:val="auto"/>
                <w:sz w:val="21"/>
                <w:szCs w:val="21"/>
                <w:lang w:eastAsia="zh-CN"/>
              </w:rPr>
              <w:t>参与</w:t>
            </w:r>
            <w:r>
              <w:rPr>
                <w:rFonts w:hint="eastAsia" w:ascii="仿宋" w:hAnsi="仿宋" w:eastAsia="仿宋" w:cs="仿宋"/>
                <w:color w:val="auto"/>
                <w:sz w:val="21"/>
                <w:szCs w:val="21"/>
                <w:lang w:val="en-US" w:eastAsia="zh-CN"/>
              </w:rPr>
              <w:t>2022年度湖南省哲学社会科学成果评审委员会一般课题</w:t>
            </w:r>
            <w:r>
              <w:rPr>
                <w:rFonts w:hint="eastAsia" w:ascii="仿宋" w:hAnsi="仿宋" w:eastAsia="仿宋" w:cs="仿宋"/>
                <w:color w:val="auto"/>
                <w:sz w:val="21"/>
                <w:szCs w:val="21"/>
                <w:lang w:eastAsia="zh-CN"/>
              </w:rPr>
              <w:t>《湖南红色旅游资源赋能大学生党史学习教育的深度耦合机制研究》</w:t>
            </w:r>
            <w:r>
              <w:rPr>
                <w:rFonts w:hint="eastAsia" w:ascii="仿宋" w:hAnsi="仿宋" w:eastAsia="仿宋" w:cs="仿宋"/>
                <w:color w:val="auto"/>
                <w:sz w:val="21"/>
                <w:szCs w:val="21"/>
                <w:lang w:val="en-US" w:eastAsia="zh-CN"/>
              </w:rPr>
              <w:t>课题批准号：</w:t>
            </w:r>
            <w:r>
              <w:rPr>
                <w:rFonts w:hint="eastAsia" w:ascii="仿宋" w:hAnsi="仿宋" w:eastAsia="仿宋" w:cs="仿宋"/>
                <w:color w:val="auto"/>
                <w:sz w:val="21"/>
                <w:szCs w:val="21"/>
                <w:lang w:eastAsia="zh-CN"/>
              </w:rPr>
              <w:t>XSP2023FXZ035</w:t>
            </w:r>
            <w:r>
              <w:rPr>
                <w:rFonts w:hint="eastAsia" w:ascii="仿宋" w:hAnsi="仿宋" w:eastAsia="仿宋" w:cs="仿宋"/>
                <w:color w:val="auto"/>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5.主要参与</w:t>
            </w:r>
            <w:r>
              <w:rPr>
                <w:rFonts w:hint="default" w:ascii="仿宋" w:hAnsi="仿宋" w:eastAsia="仿宋" w:cs="仿宋"/>
                <w:color w:val="auto"/>
                <w:sz w:val="21"/>
                <w:szCs w:val="21"/>
                <w:lang w:val="en-US" w:eastAsia="zh-CN"/>
              </w:rPr>
              <w:t>湖南省教育厅科学研究项目</w:t>
            </w:r>
            <w:r>
              <w:rPr>
                <w:rFonts w:hint="eastAsia" w:ascii="仿宋" w:hAnsi="仿宋" w:eastAsia="仿宋" w:cs="仿宋"/>
                <w:color w:val="auto"/>
                <w:sz w:val="21"/>
                <w:szCs w:val="21"/>
                <w:lang w:val="en-US" w:eastAsia="zh-CN"/>
              </w:rPr>
              <w:t>《“两个结合”视阈下高校思想政治教育实践路径研究》，立项批准号23C0942。</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 w:hAnsi="仿宋" w:eastAsia="仿宋" w:cs="仿宋"/>
                <w:b w:val="0"/>
                <w:bCs w:val="0"/>
                <w:color w:val="auto"/>
                <w:sz w:val="21"/>
                <w:szCs w:val="21"/>
                <w:lang w:val="en-US" w:eastAsia="zh-CN"/>
              </w:rPr>
            </w:pPr>
            <w:r>
              <w:rPr>
                <w:rFonts w:hint="eastAsia" w:ascii="仿宋" w:hAnsi="仿宋" w:eastAsia="仿宋" w:cs="仿宋"/>
                <w:b w:val="0"/>
                <w:bCs w:val="0"/>
                <w:spacing w:val="0"/>
                <w:kern w:val="2"/>
                <w:sz w:val="21"/>
                <w:szCs w:val="21"/>
                <w:lang w:val="en-US" w:eastAsia="zh-CN" w:bidi="ar-SA"/>
              </w:rPr>
              <w:t>6.参与娄底市哲学社会科学成果评审委员会2024年度立项课题《</w:t>
            </w:r>
            <w:r>
              <w:rPr>
                <w:rFonts w:hint="default" w:ascii="仿宋" w:hAnsi="仿宋" w:eastAsia="仿宋" w:cs="仿宋"/>
                <w:b w:val="0"/>
                <w:bCs w:val="0"/>
                <w:color w:val="auto"/>
                <w:sz w:val="21"/>
                <w:szCs w:val="21"/>
                <w:lang w:val="en-US" w:eastAsia="zh-CN"/>
              </w:rPr>
              <w:t>完善党的自我革命制度规范体系研究</w:t>
            </w:r>
            <w:r>
              <w:rPr>
                <w:rFonts w:hint="eastAsia" w:ascii="仿宋" w:hAnsi="仿宋" w:eastAsia="仿宋" w:cs="仿宋"/>
                <w:b w:val="0"/>
                <w:bCs w:val="0"/>
                <w:color w:val="auto"/>
                <w:sz w:val="21"/>
                <w:szCs w:val="21"/>
                <w:lang w:val="en-US" w:eastAsia="zh-CN"/>
              </w:rPr>
              <w:t>》，</w:t>
            </w:r>
            <w:r>
              <w:rPr>
                <w:rFonts w:hint="eastAsia" w:ascii="仿宋" w:hAnsi="仿宋" w:eastAsia="仿宋" w:cs="仿宋"/>
                <w:b w:val="0"/>
                <w:bCs w:val="0"/>
                <w:spacing w:val="0"/>
                <w:kern w:val="2"/>
                <w:sz w:val="21"/>
                <w:szCs w:val="21"/>
                <w:lang w:val="en-US" w:eastAsia="zh-CN" w:bidi="ar-SA"/>
              </w:rPr>
              <w:t>课题批准号202412J，</w:t>
            </w:r>
            <w:r>
              <w:rPr>
                <w:rFonts w:hint="eastAsia" w:ascii="仿宋" w:hAnsi="仿宋" w:eastAsia="仿宋" w:cs="仿宋"/>
                <w:b w:val="0"/>
                <w:bCs w:val="0"/>
                <w:color w:val="auto"/>
                <w:sz w:val="21"/>
                <w:szCs w:val="21"/>
                <w:lang w:val="en-US" w:eastAsia="zh-CN"/>
              </w:rPr>
              <w:t>已立项。</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7.参与已授权发明专利：基于项目管理的信息安全监控系统，申请(专利)号：CN202210260360X；</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8.参与实用新型专利《一种便携式教学沙盘》，申请号：202320577831X；</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9.参与实用新型专利《一种便于折叠的教学黑板》，申请号：2023205778339；</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10.参与《微课在线教学交流互动云平台V1.0》 计算机软件著作；</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11.参与《基于物联网的思政课教学质量监控系统V1.0》计算机软件著作。</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12.获娄底市第十三届哲学社会科学优秀成果二等奖。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trPr>
        <w:tc>
          <w:tcPr>
            <w:tcW w:w="1887" w:type="dxa"/>
            <w:gridSpan w:val="2"/>
            <w:tcBorders>
              <w:top w:val="single" w:color="auto" w:sz="4" w:space="0"/>
              <w:left w:val="single" w:color="auto" w:sz="4" w:space="0"/>
              <w:bottom w:val="single" w:color="auto" w:sz="4" w:space="0"/>
              <w:right w:val="single" w:color="auto" w:sz="4" w:space="0"/>
            </w:tcBorders>
            <w:noWrap w:val="0"/>
            <w:vAlign w:val="center"/>
          </w:tcPr>
          <w:p>
            <w:pPr>
              <w:suppressAutoHyphens/>
              <w:jc w:val="center"/>
              <w:rPr>
                <w:rFonts w:hint="eastAsia" w:ascii="楷体_GB2312" w:hAnsi="Times New Roman" w:eastAsia="楷体_GB2312" w:cs="Times New Roman"/>
                <w:kern w:val="2"/>
                <w:sz w:val="21"/>
                <w:szCs w:val="21"/>
                <w:lang w:val="en-US" w:eastAsia="zh-CN" w:bidi="ar-SA"/>
              </w:rPr>
            </w:pPr>
            <w:r>
              <w:rPr>
                <w:rFonts w:hint="eastAsia" w:ascii="楷体_GB2312" w:hAnsi="Times New Roman" w:eastAsia="楷体_GB2312" w:cs="Times New Roman"/>
                <w:sz w:val="21"/>
                <w:szCs w:val="21"/>
                <w:lang w:val="en-US" w:eastAsia="zh-CN"/>
              </w:rPr>
              <w:t>1994.12-1997.12</w:t>
            </w:r>
          </w:p>
        </w:tc>
        <w:tc>
          <w:tcPr>
            <w:tcW w:w="2610" w:type="dxa"/>
            <w:gridSpan w:val="8"/>
            <w:tcBorders>
              <w:top w:val="single" w:color="auto" w:sz="4" w:space="0"/>
              <w:left w:val="single" w:color="auto" w:sz="4" w:space="0"/>
              <w:bottom w:val="single" w:color="auto" w:sz="4" w:space="0"/>
              <w:right w:val="single" w:color="auto" w:sz="4" w:space="0"/>
            </w:tcBorders>
            <w:noWrap w:val="0"/>
            <w:vAlign w:val="center"/>
          </w:tcPr>
          <w:p>
            <w:pPr>
              <w:suppressAutoHyphens/>
              <w:jc w:val="center"/>
              <w:rPr>
                <w:rFonts w:hint="eastAsia" w:ascii="楷体_GB2312" w:hAnsi="Times New Roman" w:eastAsia="楷体_GB2312" w:cs="Times New Roman"/>
                <w:kern w:val="2"/>
                <w:sz w:val="21"/>
                <w:szCs w:val="21"/>
                <w:lang w:val="en-US" w:eastAsia="zh-CN" w:bidi="ar-SA"/>
              </w:rPr>
            </w:pPr>
            <w:r>
              <w:rPr>
                <w:rFonts w:hint="eastAsia" w:ascii="楷体_GB2312" w:hAnsi="Times New Roman" w:eastAsia="楷体_GB2312" w:cs="Times New Roman"/>
                <w:sz w:val="21"/>
                <w:szCs w:val="21"/>
                <w:lang w:val="en-US" w:eastAsia="zh-CN"/>
              </w:rPr>
              <w:t>武警怀化地区支队沅陵县中队</w:t>
            </w:r>
          </w:p>
        </w:tc>
        <w:tc>
          <w:tcPr>
            <w:tcW w:w="870" w:type="dxa"/>
            <w:tcBorders>
              <w:top w:val="single" w:color="auto" w:sz="4" w:space="0"/>
              <w:left w:val="single" w:color="auto" w:sz="4" w:space="0"/>
              <w:bottom w:val="single" w:color="auto" w:sz="4" w:space="0"/>
              <w:right w:val="single" w:color="auto" w:sz="4" w:space="0"/>
            </w:tcBorders>
            <w:noWrap w:val="0"/>
            <w:vAlign w:val="center"/>
          </w:tcPr>
          <w:p>
            <w:pPr>
              <w:suppressAutoHyphens/>
              <w:jc w:val="center"/>
              <w:rPr>
                <w:rFonts w:hint="eastAsia" w:ascii="楷体_GB2312" w:hAnsi="Times New Roman" w:eastAsia="楷体_GB2312" w:cs="Times New Roman"/>
                <w:kern w:val="2"/>
                <w:sz w:val="21"/>
                <w:szCs w:val="21"/>
                <w:lang w:val="en-US" w:eastAsia="zh-CN" w:bidi="ar-SA"/>
              </w:rPr>
            </w:pPr>
            <w:r>
              <w:rPr>
                <w:rFonts w:hint="eastAsia" w:ascii="楷体_GB2312" w:hAnsi="Times New Roman" w:eastAsia="楷体_GB2312" w:cs="Times New Roman"/>
                <w:kern w:val="2"/>
                <w:sz w:val="21"/>
                <w:szCs w:val="21"/>
                <w:lang w:val="en-US" w:eastAsia="zh-CN" w:bidi="ar-SA"/>
              </w:rPr>
              <w:t>钟国彪</w:t>
            </w:r>
          </w:p>
        </w:tc>
        <w:tc>
          <w:tcPr>
            <w:tcW w:w="1436" w:type="dxa"/>
            <w:vMerge w:val="continue"/>
            <w:tcBorders>
              <w:left w:val="single" w:color="auto" w:sz="4" w:space="0"/>
              <w:right w:val="single" w:color="auto" w:sz="4" w:space="0"/>
            </w:tcBorders>
            <w:noWrap w:val="0"/>
            <w:vAlign w:val="top"/>
          </w:tcPr>
          <w:p>
            <w:pPr>
              <w:spacing w:line="280" w:lineRule="exact"/>
              <w:jc w:val="center"/>
              <w:rPr>
                <w:sz w:val="21"/>
                <w:szCs w:val="21"/>
              </w:rPr>
            </w:pPr>
          </w:p>
        </w:tc>
        <w:tc>
          <w:tcPr>
            <w:tcW w:w="14933" w:type="dxa"/>
            <w:vMerge w:val="continue"/>
            <w:tcBorders>
              <w:left w:val="single" w:color="auto" w:sz="4" w:space="0"/>
              <w:right w:val="single" w:color="auto" w:sz="4" w:space="0"/>
            </w:tcBorders>
            <w:noWrap w:val="0"/>
            <w:vAlign w:val="top"/>
          </w:tcPr>
          <w:p>
            <w:pPr>
              <w:spacing w:line="280" w:lineRule="exact"/>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1887" w:type="dxa"/>
            <w:gridSpan w:val="2"/>
            <w:tcBorders>
              <w:top w:val="single" w:color="auto" w:sz="4" w:space="0"/>
              <w:left w:val="single" w:color="auto" w:sz="4" w:space="0"/>
              <w:bottom w:val="single" w:color="auto" w:sz="4" w:space="0"/>
              <w:right w:val="single" w:color="auto" w:sz="4" w:space="0"/>
            </w:tcBorders>
            <w:noWrap w:val="0"/>
            <w:vAlign w:val="center"/>
          </w:tcPr>
          <w:p>
            <w:pPr>
              <w:suppressAutoHyphens/>
              <w:jc w:val="center"/>
              <w:rPr>
                <w:rFonts w:hint="eastAsia" w:ascii="楷体_GB2312" w:hAnsi="Times New Roman" w:eastAsia="楷体_GB2312" w:cs="Times New Roman"/>
                <w:kern w:val="2"/>
                <w:sz w:val="21"/>
                <w:szCs w:val="21"/>
                <w:lang w:val="en-US" w:eastAsia="zh-CN" w:bidi="ar-SA"/>
              </w:rPr>
            </w:pPr>
            <w:r>
              <w:rPr>
                <w:rFonts w:hint="eastAsia" w:ascii="楷体_GB2312" w:hAnsi="Times New Roman" w:eastAsia="楷体_GB2312" w:cs="Times New Roman"/>
                <w:sz w:val="21"/>
                <w:szCs w:val="21"/>
                <w:lang w:val="en-US" w:eastAsia="zh-CN"/>
              </w:rPr>
              <w:t>2000.8-2002.12</w:t>
            </w:r>
          </w:p>
        </w:tc>
        <w:tc>
          <w:tcPr>
            <w:tcW w:w="2610" w:type="dxa"/>
            <w:gridSpan w:val="8"/>
            <w:tcBorders>
              <w:top w:val="single" w:color="auto" w:sz="4" w:space="0"/>
              <w:left w:val="single" w:color="auto" w:sz="4" w:space="0"/>
              <w:bottom w:val="single" w:color="auto" w:sz="4" w:space="0"/>
              <w:right w:val="single" w:color="auto" w:sz="4" w:space="0"/>
            </w:tcBorders>
            <w:noWrap w:val="0"/>
            <w:vAlign w:val="center"/>
          </w:tcPr>
          <w:p>
            <w:pPr>
              <w:suppressAutoHyphens/>
              <w:jc w:val="center"/>
              <w:rPr>
                <w:rFonts w:hint="eastAsia" w:ascii="楷体_GB2312" w:hAnsi="Times New Roman" w:eastAsia="楷体_GB2312" w:cs="Times New Roman"/>
                <w:kern w:val="2"/>
                <w:sz w:val="21"/>
                <w:szCs w:val="21"/>
                <w:lang w:val="en-US" w:eastAsia="zh-CN" w:bidi="ar-SA"/>
              </w:rPr>
            </w:pPr>
            <w:r>
              <w:rPr>
                <w:rFonts w:hint="eastAsia" w:ascii="楷体_GB2312" w:hAnsi="Times New Roman" w:eastAsia="楷体_GB2312" w:cs="Times New Roman"/>
                <w:sz w:val="21"/>
                <w:szCs w:val="21"/>
                <w:lang w:val="en-US" w:eastAsia="zh-CN"/>
              </w:rPr>
              <w:t>中央党校娄底分校本科学习</w:t>
            </w:r>
          </w:p>
        </w:tc>
        <w:tc>
          <w:tcPr>
            <w:tcW w:w="870" w:type="dxa"/>
            <w:tcBorders>
              <w:top w:val="single" w:color="auto" w:sz="4" w:space="0"/>
              <w:left w:val="single" w:color="auto" w:sz="4" w:space="0"/>
              <w:bottom w:val="single" w:color="auto" w:sz="4" w:space="0"/>
              <w:right w:val="single" w:color="auto" w:sz="4" w:space="0"/>
            </w:tcBorders>
            <w:noWrap w:val="0"/>
            <w:vAlign w:val="center"/>
          </w:tcPr>
          <w:p>
            <w:pPr>
              <w:suppressAutoHyphens/>
              <w:jc w:val="center"/>
              <w:rPr>
                <w:rFonts w:hint="eastAsia" w:ascii="楷体_GB2312" w:hAnsi="Times New Roman" w:eastAsia="楷体_GB2312" w:cs="Times New Roman"/>
                <w:kern w:val="2"/>
                <w:sz w:val="21"/>
                <w:szCs w:val="21"/>
                <w:lang w:val="en-US" w:eastAsia="zh-CN" w:bidi="ar-SA"/>
              </w:rPr>
            </w:pPr>
            <w:r>
              <w:rPr>
                <w:rFonts w:hint="eastAsia" w:ascii="楷体_GB2312" w:hAnsi="Times New Roman" w:eastAsia="楷体_GB2312" w:cs="Times New Roman"/>
                <w:kern w:val="2"/>
                <w:sz w:val="21"/>
                <w:szCs w:val="21"/>
                <w:lang w:val="en-US" w:eastAsia="zh-CN" w:bidi="ar-SA"/>
              </w:rPr>
              <w:t>曾庆学</w:t>
            </w:r>
          </w:p>
        </w:tc>
        <w:tc>
          <w:tcPr>
            <w:tcW w:w="1436" w:type="dxa"/>
            <w:vMerge w:val="continue"/>
            <w:tcBorders>
              <w:left w:val="single" w:color="auto" w:sz="4" w:space="0"/>
              <w:right w:val="single" w:color="auto" w:sz="4" w:space="0"/>
            </w:tcBorders>
            <w:noWrap w:val="0"/>
            <w:vAlign w:val="top"/>
          </w:tcPr>
          <w:p>
            <w:pPr>
              <w:spacing w:line="280" w:lineRule="exact"/>
              <w:jc w:val="center"/>
              <w:rPr>
                <w:sz w:val="21"/>
                <w:szCs w:val="21"/>
              </w:rPr>
            </w:pPr>
          </w:p>
        </w:tc>
        <w:tc>
          <w:tcPr>
            <w:tcW w:w="14933" w:type="dxa"/>
            <w:vMerge w:val="continue"/>
            <w:tcBorders>
              <w:left w:val="single" w:color="auto" w:sz="4" w:space="0"/>
              <w:right w:val="single" w:color="auto" w:sz="4" w:space="0"/>
            </w:tcBorders>
            <w:noWrap w:val="0"/>
            <w:vAlign w:val="top"/>
          </w:tcPr>
          <w:p>
            <w:pPr>
              <w:spacing w:line="280" w:lineRule="exact"/>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9" w:hRule="atLeast"/>
        </w:trPr>
        <w:tc>
          <w:tcPr>
            <w:tcW w:w="1887" w:type="dxa"/>
            <w:gridSpan w:val="2"/>
            <w:tcBorders>
              <w:top w:val="single" w:color="auto" w:sz="4" w:space="0"/>
              <w:left w:val="single" w:color="auto" w:sz="4" w:space="0"/>
              <w:bottom w:val="single" w:color="auto" w:sz="4" w:space="0"/>
              <w:right w:val="single" w:color="auto" w:sz="4" w:space="0"/>
            </w:tcBorders>
            <w:noWrap w:val="0"/>
            <w:vAlign w:val="center"/>
          </w:tcPr>
          <w:p>
            <w:pPr>
              <w:suppressAutoHyphens/>
              <w:jc w:val="center"/>
              <w:rPr>
                <w:rFonts w:hint="eastAsia" w:ascii="楷体_GB2312" w:hAnsi="Times New Roman" w:eastAsia="楷体_GB2312" w:cs="Times New Roman"/>
                <w:kern w:val="2"/>
                <w:sz w:val="21"/>
                <w:szCs w:val="21"/>
                <w:lang w:val="en-US" w:eastAsia="zh-CN" w:bidi="ar-SA"/>
              </w:rPr>
            </w:pPr>
            <w:r>
              <w:rPr>
                <w:rFonts w:hint="eastAsia" w:ascii="楷体_GB2312" w:hAnsi="Times New Roman" w:eastAsia="楷体_GB2312" w:cs="Times New Roman"/>
                <w:sz w:val="21"/>
                <w:szCs w:val="21"/>
                <w:lang w:val="en-US" w:eastAsia="zh-CN"/>
              </w:rPr>
              <w:t>2000.4-2016.4</w:t>
            </w:r>
          </w:p>
        </w:tc>
        <w:tc>
          <w:tcPr>
            <w:tcW w:w="2610" w:type="dxa"/>
            <w:gridSpan w:val="8"/>
            <w:tcBorders>
              <w:top w:val="single" w:color="auto" w:sz="4" w:space="0"/>
              <w:left w:val="single" w:color="auto" w:sz="4" w:space="0"/>
              <w:bottom w:val="single" w:color="auto" w:sz="4" w:space="0"/>
              <w:right w:val="single" w:color="auto" w:sz="4" w:space="0"/>
            </w:tcBorders>
            <w:noWrap w:val="0"/>
            <w:vAlign w:val="center"/>
          </w:tcPr>
          <w:p>
            <w:pPr>
              <w:suppressAutoHyphens/>
              <w:jc w:val="center"/>
              <w:rPr>
                <w:rFonts w:hint="eastAsia" w:ascii="楷体_GB2312" w:hAnsi="Times New Roman" w:eastAsia="楷体_GB2312" w:cs="Times New Roman"/>
                <w:kern w:val="2"/>
                <w:sz w:val="21"/>
                <w:szCs w:val="21"/>
                <w:lang w:val="en-US" w:eastAsia="zh-CN" w:bidi="ar-SA"/>
              </w:rPr>
            </w:pPr>
            <w:r>
              <w:rPr>
                <w:rFonts w:hint="eastAsia" w:ascii="楷体_GB2312" w:hAnsi="Times New Roman" w:eastAsia="楷体_GB2312" w:cs="Times New Roman"/>
                <w:sz w:val="21"/>
                <w:szCs w:val="21"/>
                <w:lang w:val="en-US" w:eastAsia="zh-CN"/>
              </w:rPr>
              <w:t>娄底市卫生学校组织人事科干事</w:t>
            </w:r>
          </w:p>
        </w:tc>
        <w:tc>
          <w:tcPr>
            <w:tcW w:w="870" w:type="dxa"/>
            <w:tcBorders>
              <w:top w:val="single" w:color="auto" w:sz="4" w:space="0"/>
              <w:left w:val="single" w:color="auto" w:sz="4" w:space="0"/>
              <w:bottom w:val="single" w:color="auto" w:sz="4" w:space="0"/>
              <w:right w:val="single" w:color="auto" w:sz="4" w:space="0"/>
            </w:tcBorders>
            <w:noWrap w:val="0"/>
            <w:vAlign w:val="center"/>
          </w:tcPr>
          <w:p>
            <w:pPr>
              <w:suppressAutoHyphens/>
              <w:jc w:val="center"/>
              <w:rPr>
                <w:rFonts w:hint="eastAsia" w:ascii="楷体_GB2312" w:hAnsi="Times New Roman" w:eastAsia="楷体_GB2312" w:cs="Times New Roman"/>
                <w:kern w:val="2"/>
                <w:sz w:val="21"/>
                <w:szCs w:val="21"/>
                <w:lang w:val="en-US" w:eastAsia="zh-CN" w:bidi="ar-SA"/>
              </w:rPr>
            </w:pPr>
            <w:r>
              <w:rPr>
                <w:rFonts w:hint="eastAsia" w:ascii="楷体_GB2312" w:hAnsi="Times New Roman" w:eastAsia="楷体_GB2312" w:cs="Times New Roman"/>
                <w:kern w:val="2"/>
                <w:sz w:val="21"/>
                <w:szCs w:val="21"/>
                <w:lang w:val="en-US" w:eastAsia="zh-CN" w:bidi="ar-SA"/>
              </w:rPr>
              <w:t>朱艳平</w:t>
            </w:r>
          </w:p>
        </w:tc>
        <w:tc>
          <w:tcPr>
            <w:tcW w:w="1436" w:type="dxa"/>
            <w:vMerge w:val="continue"/>
            <w:tcBorders>
              <w:left w:val="single" w:color="auto" w:sz="4" w:space="0"/>
              <w:right w:val="single" w:color="auto" w:sz="4" w:space="0"/>
            </w:tcBorders>
            <w:noWrap w:val="0"/>
            <w:vAlign w:val="top"/>
          </w:tcPr>
          <w:p>
            <w:pPr>
              <w:spacing w:line="280" w:lineRule="exact"/>
              <w:jc w:val="center"/>
              <w:rPr>
                <w:sz w:val="21"/>
                <w:szCs w:val="21"/>
              </w:rPr>
            </w:pPr>
          </w:p>
        </w:tc>
        <w:tc>
          <w:tcPr>
            <w:tcW w:w="14933" w:type="dxa"/>
            <w:vMerge w:val="continue"/>
            <w:tcBorders>
              <w:left w:val="single" w:color="auto" w:sz="4" w:space="0"/>
              <w:right w:val="single" w:color="auto" w:sz="4" w:space="0"/>
            </w:tcBorders>
            <w:noWrap w:val="0"/>
            <w:vAlign w:val="top"/>
          </w:tcPr>
          <w:p>
            <w:pPr>
              <w:spacing w:line="280" w:lineRule="exact"/>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1" w:hRule="atLeast"/>
        </w:trPr>
        <w:tc>
          <w:tcPr>
            <w:tcW w:w="1887" w:type="dxa"/>
            <w:gridSpan w:val="2"/>
            <w:tcBorders>
              <w:top w:val="single" w:color="auto" w:sz="4" w:space="0"/>
              <w:left w:val="single" w:color="auto" w:sz="4" w:space="0"/>
              <w:bottom w:val="single" w:color="auto" w:sz="4" w:space="0"/>
              <w:right w:val="single" w:color="auto" w:sz="4" w:space="0"/>
            </w:tcBorders>
            <w:noWrap w:val="0"/>
            <w:vAlign w:val="center"/>
          </w:tcPr>
          <w:p>
            <w:pPr>
              <w:suppressAutoHyphens/>
              <w:jc w:val="center"/>
              <w:rPr>
                <w:rFonts w:hint="eastAsia" w:ascii="楷体_GB2312" w:hAnsi="Times New Roman" w:eastAsia="楷体_GB2312" w:cs="Times New Roman"/>
                <w:kern w:val="2"/>
                <w:sz w:val="21"/>
                <w:szCs w:val="21"/>
                <w:lang w:val="en-US" w:eastAsia="zh-CN" w:bidi="ar-SA"/>
              </w:rPr>
            </w:pPr>
            <w:r>
              <w:rPr>
                <w:rFonts w:hint="eastAsia" w:ascii="楷体_GB2312" w:hAnsi="Times New Roman" w:eastAsia="楷体_GB2312" w:cs="Times New Roman"/>
                <w:sz w:val="21"/>
                <w:szCs w:val="21"/>
                <w:lang w:val="en-US" w:eastAsia="zh-CN"/>
              </w:rPr>
              <w:t>2016.5-2021.3</w:t>
            </w:r>
          </w:p>
        </w:tc>
        <w:tc>
          <w:tcPr>
            <w:tcW w:w="2610" w:type="dxa"/>
            <w:gridSpan w:val="8"/>
            <w:tcBorders>
              <w:top w:val="single" w:color="auto" w:sz="4" w:space="0"/>
              <w:left w:val="single" w:color="auto" w:sz="4" w:space="0"/>
              <w:bottom w:val="single" w:color="auto" w:sz="4" w:space="0"/>
              <w:right w:val="single" w:color="auto" w:sz="4" w:space="0"/>
            </w:tcBorders>
            <w:noWrap w:val="0"/>
            <w:vAlign w:val="center"/>
          </w:tcPr>
          <w:p>
            <w:pPr>
              <w:suppressAutoHyphens/>
              <w:jc w:val="center"/>
              <w:rPr>
                <w:rFonts w:hint="eastAsia" w:ascii="楷体_GB2312" w:hAnsi="Times New Roman" w:eastAsia="楷体_GB2312" w:cs="Times New Roman"/>
                <w:kern w:val="2"/>
                <w:sz w:val="21"/>
                <w:szCs w:val="21"/>
                <w:lang w:val="en-US" w:eastAsia="zh-CN" w:bidi="ar-SA"/>
              </w:rPr>
            </w:pPr>
            <w:r>
              <w:rPr>
                <w:rFonts w:hint="eastAsia" w:ascii="楷体_GB2312" w:hAnsi="Times New Roman" w:eastAsia="楷体_GB2312" w:cs="Times New Roman"/>
                <w:sz w:val="21"/>
                <w:szCs w:val="21"/>
                <w:lang w:val="en-US" w:eastAsia="zh-CN"/>
              </w:rPr>
              <w:t>娄底职业技术学院人事处干事</w:t>
            </w:r>
          </w:p>
        </w:tc>
        <w:tc>
          <w:tcPr>
            <w:tcW w:w="870" w:type="dxa"/>
            <w:tcBorders>
              <w:top w:val="single" w:color="auto" w:sz="4" w:space="0"/>
              <w:left w:val="single" w:color="auto" w:sz="4" w:space="0"/>
              <w:bottom w:val="single" w:color="auto" w:sz="4" w:space="0"/>
              <w:right w:val="single" w:color="auto" w:sz="4" w:space="0"/>
            </w:tcBorders>
            <w:noWrap w:val="0"/>
            <w:vAlign w:val="center"/>
          </w:tcPr>
          <w:p>
            <w:pPr>
              <w:suppressAutoHyphens/>
              <w:jc w:val="center"/>
              <w:rPr>
                <w:rFonts w:hint="eastAsia" w:ascii="楷体_GB2312" w:hAnsi="Times New Roman" w:eastAsia="楷体_GB2312" w:cs="Times New Roman"/>
                <w:kern w:val="2"/>
                <w:sz w:val="21"/>
                <w:szCs w:val="21"/>
                <w:lang w:val="en-US" w:eastAsia="zh-CN" w:bidi="ar-SA"/>
              </w:rPr>
            </w:pPr>
            <w:r>
              <w:rPr>
                <w:rFonts w:hint="eastAsia" w:ascii="楷体_GB2312" w:hAnsi="Times New Roman" w:eastAsia="楷体_GB2312" w:cs="Times New Roman"/>
                <w:kern w:val="2"/>
                <w:sz w:val="21"/>
                <w:szCs w:val="21"/>
                <w:lang w:val="en-US" w:eastAsia="zh-CN" w:bidi="ar-SA"/>
              </w:rPr>
              <w:t>申晓伟</w:t>
            </w:r>
          </w:p>
        </w:tc>
        <w:tc>
          <w:tcPr>
            <w:tcW w:w="1436" w:type="dxa"/>
            <w:vMerge w:val="continue"/>
            <w:tcBorders>
              <w:left w:val="single" w:color="auto" w:sz="4" w:space="0"/>
              <w:right w:val="single" w:color="auto" w:sz="4" w:space="0"/>
            </w:tcBorders>
            <w:noWrap w:val="0"/>
            <w:vAlign w:val="center"/>
          </w:tcPr>
          <w:p>
            <w:pPr>
              <w:spacing w:line="280" w:lineRule="exact"/>
              <w:jc w:val="center"/>
              <w:rPr>
                <w:rFonts w:hint="eastAsia"/>
                <w:sz w:val="21"/>
                <w:szCs w:val="21"/>
              </w:rPr>
            </w:pPr>
          </w:p>
        </w:tc>
        <w:tc>
          <w:tcPr>
            <w:tcW w:w="14933" w:type="dxa"/>
            <w:vMerge w:val="continue"/>
            <w:tcBorders>
              <w:left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仿宋" w:hAnsi="仿宋" w:eastAsia="仿宋" w:cs="仿宋"/>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trPr>
        <w:tc>
          <w:tcPr>
            <w:tcW w:w="1887" w:type="dxa"/>
            <w:gridSpan w:val="2"/>
            <w:vMerge w:val="restart"/>
            <w:tcBorders>
              <w:top w:val="single" w:color="auto" w:sz="4" w:space="0"/>
              <w:left w:val="single" w:color="auto" w:sz="4" w:space="0"/>
              <w:right w:val="single" w:color="auto" w:sz="4" w:space="0"/>
            </w:tcBorders>
            <w:noWrap w:val="0"/>
            <w:vAlign w:val="center"/>
          </w:tcPr>
          <w:p>
            <w:pPr>
              <w:suppressAutoHyphens/>
              <w:jc w:val="center"/>
              <w:rPr>
                <w:rFonts w:hint="eastAsia" w:ascii="楷体_GB2312" w:hAnsi="Times New Roman" w:eastAsia="楷体_GB2312" w:cs="Times New Roman"/>
                <w:kern w:val="2"/>
                <w:sz w:val="21"/>
                <w:szCs w:val="21"/>
                <w:lang w:val="en-US" w:eastAsia="zh-CN" w:bidi="ar-SA"/>
              </w:rPr>
            </w:pPr>
            <w:r>
              <w:rPr>
                <w:rFonts w:hint="eastAsia" w:ascii="楷体_GB2312" w:hAnsi="Times New Roman" w:eastAsia="楷体_GB2312" w:cs="Times New Roman"/>
                <w:sz w:val="21"/>
                <w:szCs w:val="21"/>
                <w:lang w:val="en-US" w:eastAsia="zh-CN"/>
              </w:rPr>
              <w:t>2021.4-今</w:t>
            </w:r>
          </w:p>
        </w:tc>
        <w:tc>
          <w:tcPr>
            <w:tcW w:w="2610" w:type="dxa"/>
            <w:gridSpan w:val="8"/>
            <w:vMerge w:val="restart"/>
            <w:tcBorders>
              <w:top w:val="single" w:color="auto" w:sz="4" w:space="0"/>
              <w:left w:val="single" w:color="auto" w:sz="4" w:space="0"/>
              <w:right w:val="single" w:color="auto" w:sz="4" w:space="0"/>
            </w:tcBorders>
            <w:noWrap w:val="0"/>
            <w:vAlign w:val="center"/>
          </w:tcPr>
          <w:p>
            <w:pPr>
              <w:suppressAutoHyphens/>
              <w:jc w:val="center"/>
              <w:rPr>
                <w:rFonts w:hint="eastAsia" w:ascii="楷体_GB2312" w:hAnsi="Times New Roman" w:eastAsia="楷体_GB2312" w:cs="Times New Roman"/>
                <w:kern w:val="2"/>
                <w:sz w:val="21"/>
                <w:szCs w:val="21"/>
                <w:lang w:val="en-US" w:eastAsia="zh-CN" w:bidi="ar-SA"/>
              </w:rPr>
            </w:pPr>
            <w:r>
              <w:rPr>
                <w:rFonts w:hint="eastAsia" w:ascii="楷体_GB2312" w:hAnsi="Times New Roman" w:eastAsia="楷体_GB2312" w:cs="Times New Roman"/>
                <w:sz w:val="21"/>
                <w:szCs w:val="21"/>
                <w:lang w:val="en-US" w:eastAsia="zh-CN"/>
              </w:rPr>
              <w:t>娄底职业技术学院人事处副处长</w:t>
            </w:r>
          </w:p>
        </w:tc>
        <w:tc>
          <w:tcPr>
            <w:tcW w:w="870" w:type="dxa"/>
            <w:vMerge w:val="restart"/>
            <w:tcBorders>
              <w:top w:val="single" w:color="auto" w:sz="4" w:space="0"/>
              <w:left w:val="single" w:color="auto" w:sz="4" w:space="0"/>
              <w:right w:val="single" w:color="auto" w:sz="4" w:space="0"/>
            </w:tcBorders>
            <w:noWrap w:val="0"/>
            <w:vAlign w:val="center"/>
          </w:tcPr>
          <w:p>
            <w:pPr>
              <w:suppressAutoHyphens/>
              <w:jc w:val="center"/>
              <w:rPr>
                <w:rFonts w:hint="eastAsia" w:ascii="楷体_GB2312" w:hAnsi="Times New Roman" w:eastAsia="楷体_GB2312" w:cs="Times New Roman"/>
                <w:kern w:val="2"/>
                <w:sz w:val="21"/>
                <w:szCs w:val="21"/>
                <w:lang w:val="en-US" w:eastAsia="zh-CN" w:bidi="ar-SA"/>
              </w:rPr>
            </w:pPr>
            <w:r>
              <w:rPr>
                <w:rFonts w:hint="eastAsia" w:ascii="楷体_GB2312" w:hAnsi="Times New Roman" w:eastAsia="楷体_GB2312" w:cs="Times New Roman"/>
                <w:kern w:val="2"/>
                <w:sz w:val="21"/>
                <w:szCs w:val="21"/>
                <w:lang w:val="en-US" w:eastAsia="zh-CN" w:bidi="ar-SA"/>
              </w:rPr>
              <w:t>刘媛</w:t>
            </w:r>
          </w:p>
        </w:tc>
        <w:tc>
          <w:tcPr>
            <w:tcW w:w="1436" w:type="dxa"/>
            <w:vMerge w:val="continue"/>
            <w:tcBorders>
              <w:left w:val="single" w:color="auto" w:sz="4" w:space="0"/>
              <w:right w:val="single" w:color="auto" w:sz="4" w:space="0"/>
            </w:tcBorders>
            <w:noWrap w:val="0"/>
            <w:vAlign w:val="top"/>
          </w:tcPr>
          <w:p>
            <w:pPr>
              <w:spacing w:line="280" w:lineRule="exact"/>
              <w:jc w:val="center"/>
              <w:rPr>
                <w:sz w:val="21"/>
                <w:szCs w:val="21"/>
              </w:rPr>
            </w:pPr>
          </w:p>
        </w:tc>
        <w:tc>
          <w:tcPr>
            <w:tcW w:w="14933" w:type="dxa"/>
            <w:vMerge w:val="continue"/>
            <w:tcBorders>
              <w:left w:val="single" w:color="auto" w:sz="4" w:space="0"/>
              <w:right w:val="single" w:color="auto" w:sz="4" w:space="0"/>
            </w:tcBorders>
            <w:noWrap w:val="0"/>
            <w:vAlign w:val="top"/>
          </w:tcPr>
          <w:p>
            <w:pPr>
              <w:spacing w:line="280" w:lineRule="exact"/>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1887" w:type="dxa"/>
            <w:gridSpan w:val="2"/>
            <w:vMerge w:val="continue"/>
            <w:tcBorders>
              <w:left w:val="single" w:color="auto" w:sz="4" w:space="0"/>
              <w:bottom w:val="single" w:color="auto" w:sz="4" w:space="0"/>
              <w:right w:val="single" w:color="auto" w:sz="4" w:space="0"/>
            </w:tcBorders>
            <w:noWrap w:val="0"/>
            <w:vAlign w:val="center"/>
          </w:tcPr>
          <w:p>
            <w:pPr>
              <w:suppressAutoHyphens/>
              <w:jc w:val="center"/>
              <w:rPr>
                <w:rFonts w:hint="eastAsia" w:ascii="楷体_GB2312" w:hAnsi="Times New Roman" w:eastAsia="楷体_GB2312" w:cs="Times New Roman"/>
                <w:sz w:val="21"/>
                <w:szCs w:val="21"/>
                <w:lang w:val="en-US" w:eastAsia="zh-CN"/>
              </w:rPr>
            </w:pPr>
          </w:p>
        </w:tc>
        <w:tc>
          <w:tcPr>
            <w:tcW w:w="2610" w:type="dxa"/>
            <w:gridSpan w:val="8"/>
            <w:vMerge w:val="continue"/>
            <w:tcBorders>
              <w:left w:val="single" w:color="auto" w:sz="4" w:space="0"/>
              <w:bottom w:val="single" w:color="auto" w:sz="4" w:space="0"/>
              <w:right w:val="single" w:color="auto" w:sz="4" w:space="0"/>
            </w:tcBorders>
            <w:noWrap w:val="0"/>
            <w:vAlign w:val="center"/>
          </w:tcPr>
          <w:p>
            <w:pPr>
              <w:suppressAutoHyphens/>
              <w:jc w:val="center"/>
              <w:rPr>
                <w:rFonts w:hint="eastAsia" w:ascii="楷体_GB2312" w:hAnsi="Times New Roman" w:eastAsia="楷体_GB2312" w:cs="Times New Roman"/>
                <w:sz w:val="21"/>
                <w:szCs w:val="21"/>
                <w:lang w:val="en-US" w:eastAsia="zh-CN"/>
              </w:rPr>
            </w:pPr>
          </w:p>
        </w:tc>
        <w:tc>
          <w:tcPr>
            <w:tcW w:w="870" w:type="dxa"/>
            <w:vMerge w:val="continue"/>
            <w:tcBorders>
              <w:left w:val="single" w:color="auto" w:sz="4" w:space="0"/>
              <w:bottom w:val="single" w:color="auto" w:sz="4" w:space="0"/>
              <w:right w:val="single" w:color="auto" w:sz="4" w:space="0"/>
            </w:tcBorders>
            <w:noWrap w:val="0"/>
            <w:vAlign w:val="center"/>
          </w:tcPr>
          <w:p>
            <w:pPr>
              <w:suppressAutoHyphens/>
              <w:jc w:val="center"/>
              <w:rPr>
                <w:rFonts w:hint="eastAsia" w:ascii="楷体_GB2312" w:hAnsi="Times New Roman" w:eastAsia="楷体_GB2312" w:cs="Times New Roman"/>
                <w:kern w:val="2"/>
                <w:sz w:val="21"/>
                <w:szCs w:val="21"/>
                <w:lang w:val="en-US" w:eastAsia="zh-CN" w:bidi="ar-SA"/>
              </w:rPr>
            </w:pPr>
          </w:p>
        </w:tc>
        <w:tc>
          <w:tcPr>
            <w:tcW w:w="1436" w:type="dxa"/>
            <w:vMerge w:val="restart"/>
            <w:tcBorders>
              <w:left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spacing w:val="0"/>
                <w:sz w:val="21"/>
                <w:szCs w:val="21"/>
              </w:rPr>
            </w:pPr>
            <w:r>
              <w:rPr>
                <w:rFonts w:hint="eastAsia"/>
                <w:spacing w:val="0"/>
                <w:sz w:val="21"/>
                <w:szCs w:val="21"/>
              </w:rPr>
              <w:t>发表论文和著作的标题刊物、时间</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 w:val="21"/>
                <w:szCs w:val="21"/>
              </w:rPr>
            </w:pPr>
            <w:r>
              <w:rPr>
                <w:rFonts w:hint="eastAsia"/>
                <w:spacing w:val="0"/>
                <w:sz w:val="21"/>
                <w:szCs w:val="21"/>
              </w:rPr>
              <w:t>作者排名等</w:t>
            </w:r>
          </w:p>
        </w:tc>
        <w:tc>
          <w:tcPr>
            <w:tcW w:w="14933" w:type="dxa"/>
            <w:vMerge w:val="restart"/>
            <w:tcBorders>
              <w:left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b w:val="0"/>
                <w:bCs w:val="0"/>
                <w:color w:val="auto"/>
                <w:sz w:val="21"/>
                <w:szCs w:val="21"/>
                <w:lang w:val="en-US" w:eastAsia="zh-CN"/>
              </w:rPr>
            </w:pPr>
            <w:r>
              <w:rPr>
                <w:rFonts w:hint="eastAsia" w:ascii="仿宋" w:hAnsi="仿宋" w:eastAsia="仿宋" w:cs="仿宋"/>
                <w:b w:val="0"/>
                <w:bCs w:val="0"/>
                <w:color w:val="auto"/>
                <w:sz w:val="21"/>
                <w:szCs w:val="21"/>
                <w:lang w:val="en-US" w:eastAsia="zh-CN"/>
              </w:rPr>
              <w:t>1.论文《基于“三全育人”理念的高校人事工作育人职能探析》发表在《畅谈》2023年第5期，独著；</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b w:val="0"/>
                <w:bCs w:val="0"/>
                <w:color w:val="auto"/>
                <w:sz w:val="21"/>
                <w:szCs w:val="21"/>
                <w:lang w:val="en-US" w:eastAsia="zh-CN"/>
              </w:rPr>
            </w:pPr>
            <w:r>
              <w:rPr>
                <w:rFonts w:hint="eastAsia" w:ascii="仿宋" w:hAnsi="仿宋" w:eastAsia="仿宋" w:cs="仿宋"/>
                <w:b w:val="0"/>
                <w:bCs w:val="0"/>
                <w:color w:val="auto"/>
                <w:sz w:val="21"/>
                <w:szCs w:val="21"/>
                <w:lang w:val="en-US" w:eastAsia="zh-CN"/>
              </w:rPr>
              <w:t>2.论文《思想政治工作是提升职业技术学院学生综合素质的生命线》发表在《美丽中国》2024年第10期，独著；</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b w:val="0"/>
                <w:bCs w:val="0"/>
                <w:color w:val="auto"/>
                <w:sz w:val="21"/>
                <w:szCs w:val="21"/>
                <w:lang w:val="en-US" w:eastAsia="zh-CN"/>
              </w:rPr>
            </w:pPr>
            <w:r>
              <w:rPr>
                <w:rFonts w:hint="eastAsia" w:ascii="仿宋" w:hAnsi="仿宋" w:eastAsia="仿宋" w:cs="仿宋"/>
                <w:b w:val="0"/>
                <w:bCs w:val="0"/>
                <w:color w:val="auto"/>
                <w:sz w:val="21"/>
                <w:szCs w:val="21"/>
                <w:lang w:val="en-US" w:eastAsia="zh-CN"/>
              </w:rPr>
              <w:t>3.论文《坚持思想政治引领推进娄底职业技术学院高质量教师人才队伍建设》发表在《探索科学》2024 年第10期，独著；</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b w:val="0"/>
                <w:bCs w:val="0"/>
                <w:color w:val="auto"/>
                <w:sz w:val="21"/>
                <w:szCs w:val="21"/>
                <w:lang w:val="en-US" w:eastAsia="zh-CN"/>
              </w:rPr>
            </w:pPr>
            <w:r>
              <w:rPr>
                <w:rFonts w:hint="eastAsia" w:ascii="仿宋" w:hAnsi="仿宋" w:eastAsia="仿宋" w:cs="仿宋"/>
                <w:b w:val="0"/>
                <w:bCs w:val="0"/>
                <w:color w:val="auto"/>
                <w:sz w:val="21"/>
                <w:szCs w:val="21"/>
                <w:lang w:val="en-US" w:eastAsia="zh-CN"/>
              </w:rPr>
              <w:t>4.论文《践行马克思主义价值观夯实职业技术学院廉政建设思想理论实践发展基础》发表在《中国建筑业年鉴》2024 年第13期，独著；</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b w:val="0"/>
                <w:bCs w:val="0"/>
                <w:color w:val="auto"/>
                <w:sz w:val="21"/>
                <w:szCs w:val="21"/>
                <w:lang w:val="en-US" w:eastAsia="zh-CN"/>
              </w:rPr>
            </w:pPr>
            <w:r>
              <w:rPr>
                <w:rFonts w:hint="eastAsia" w:ascii="仿宋" w:hAnsi="仿宋" w:eastAsia="仿宋" w:cs="仿宋"/>
                <w:b w:val="0"/>
                <w:bCs w:val="0"/>
                <w:color w:val="auto"/>
                <w:sz w:val="21"/>
                <w:szCs w:val="21"/>
                <w:lang w:val="en-US" w:eastAsia="zh-CN"/>
              </w:rPr>
              <w:t>5.论文《论提升职业技术学院党的全面领导水平》发表在《知识力量》2024 年第14期，独著；</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b w:val="0"/>
                <w:bCs w:val="0"/>
                <w:color w:val="auto"/>
                <w:sz w:val="21"/>
                <w:szCs w:val="21"/>
                <w:lang w:val="en-US" w:eastAsia="zh-CN"/>
              </w:rPr>
            </w:pPr>
            <w:r>
              <w:rPr>
                <w:rFonts w:hint="eastAsia" w:ascii="仿宋" w:hAnsi="仿宋" w:eastAsia="仿宋" w:cs="仿宋"/>
                <w:b w:val="0"/>
                <w:bCs w:val="0"/>
                <w:color w:val="auto"/>
                <w:sz w:val="21"/>
                <w:szCs w:val="21"/>
                <w:lang w:val="en-US" w:eastAsia="zh-CN"/>
              </w:rPr>
              <w:t>6.论文《思想政治工作是职业技术学院推进新质生产力发展的生命线》发表在《智慧医学》2024 年第9期</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b w:val="0"/>
                <w:bCs w:val="0"/>
                <w:color w:val="auto"/>
                <w:sz w:val="21"/>
                <w:szCs w:val="21"/>
                <w:lang w:val="en-US" w:eastAsia="zh-CN"/>
              </w:rPr>
            </w:pPr>
            <w:r>
              <w:rPr>
                <w:rFonts w:hint="eastAsia" w:ascii="仿宋" w:hAnsi="仿宋" w:eastAsia="仿宋" w:cs="仿宋"/>
                <w:b w:val="0"/>
                <w:bCs w:val="0"/>
                <w:color w:val="auto"/>
                <w:sz w:val="21"/>
                <w:szCs w:val="21"/>
                <w:lang w:val="en-US" w:eastAsia="zh-CN"/>
              </w:rPr>
              <w:t>7.论文《全面提升娄底在人才吸引力和竞争力方面的战略探索》发表在《万象》2024 年1月期刊，独著；</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仿宋" w:hAnsi="仿宋" w:eastAsia="仿宋" w:cs="仿宋"/>
                <w:b w:val="0"/>
                <w:bCs w:val="0"/>
                <w:color w:val="auto"/>
                <w:sz w:val="21"/>
                <w:szCs w:val="21"/>
                <w:lang w:val="en-US" w:eastAsia="zh-CN"/>
              </w:rPr>
            </w:pPr>
            <w:r>
              <w:rPr>
                <w:rFonts w:hint="eastAsia" w:ascii="仿宋" w:hAnsi="仿宋" w:eastAsia="仿宋" w:cs="仿宋"/>
                <w:b w:val="0"/>
                <w:bCs w:val="0"/>
                <w:color w:val="auto"/>
                <w:sz w:val="21"/>
                <w:szCs w:val="21"/>
                <w:lang w:val="en-US" w:eastAsia="zh-CN"/>
              </w:rPr>
              <w:t>8.论文《聚焦柔性引才策略的高职院校人才储备机制探析》发表在《虹》2023年第10期，合著（第一作者）；</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仿宋" w:hAnsi="仿宋" w:eastAsia="仿宋" w:cs="仿宋"/>
                <w:b w:val="0"/>
                <w:bCs w:val="0"/>
                <w:color w:val="auto"/>
                <w:sz w:val="21"/>
                <w:szCs w:val="21"/>
                <w:lang w:val="en-US" w:eastAsia="zh-CN"/>
              </w:rPr>
            </w:pPr>
            <w:r>
              <w:rPr>
                <w:rFonts w:hint="eastAsia" w:ascii="仿宋" w:hAnsi="仿宋" w:eastAsia="仿宋" w:cs="仿宋"/>
                <w:b w:val="0"/>
                <w:bCs w:val="0"/>
                <w:color w:val="auto"/>
                <w:sz w:val="21"/>
                <w:szCs w:val="21"/>
                <w:lang w:val="en-US" w:eastAsia="zh-CN"/>
              </w:rPr>
              <w:t>9.论文《基于金融支持的娄底人才副中心城市建设模式研究》发表在《辅导员》2023年第3期，独著；</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b w:val="0"/>
                <w:bCs w:val="0"/>
                <w:color w:val="auto"/>
                <w:sz w:val="21"/>
                <w:szCs w:val="21"/>
                <w:lang w:val="en-US" w:eastAsia="zh-CN"/>
              </w:rPr>
            </w:pPr>
            <w:r>
              <w:rPr>
                <w:rFonts w:hint="eastAsia" w:ascii="仿宋" w:hAnsi="仿宋" w:eastAsia="仿宋" w:cs="仿宋"/>
                <w:b w:val="0"/>
                <w:bCs w:val="0"/>
                <w:color w:val="auto"/>
                <w:sz w:val="21"/>
                <w:szCs w:val="21"/>
                <w:lang w:val="en-US" w:eastAsia="zh-CN"/>
              </w:rPr>
              <w:t>10.论文《浅谈高校教职工思想政治工作的必要性和途径》发表在《锦绣》2023年第8期，独著；</w:t>
            </w:r>
          </w:p>
          <w:p>
            <w:pPr>
              <w:keepNext w:val="0"/>
              <w:keepLines w:val="0"/>
              <w:pageBreakBefore w:val="0"/>
              <w:widowControl w:val="0"/>
              <w:kinsoku/>
              <w:wordWrap/>
              <w:overflowPunct/>
              <w:topLinePunct w:val="0"/>
              <w:autoSpaceDE/>
              <w:autoSpaceDN/>
              <w:bidi w:val="0"/>
              <w:adjustRightInd/>
              <w:snapToGrid/>
              <w:spacing w:line="320" w:lineRule="exact"/>
              <w:textAlignment w:val="auto"/>
              <w:rPr>
                <w:sz w:val="21"/>
                <w:szCs w:val="21"/>
              </w:rPr>
            </w:pPr>
            <w:r>
              <w:rPr>
                <w:rFonts w:hint="eastAsia" w:ascii="仿宋" w:hAnsi="仿宋" w:eastAsia="仿宋" w:cs="仿宋"/>
                <w:b w:val="0"/>
                <w:bCs w:val="0"/>
                <w:color w:val="auto"/>
                <w:sz w:val="21"/>
                <w:szCs w:val="21"/>
                <w:lang w:val="en-US" w:eastAsia="zh-CN"/>
              </w:rPr>
              <w:t>11.著作《党校思政工作与实践》副著，编写10万字。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8" w:hRule="atLeast"/>
        </w:trPr>
        <w:tc>
          <w:tcPr>
            <w:tcW w:w="5367" w:type="dxa"/>
            <w:gridSpan w:val="11"/>
            <w:tcBorders>
              <w:top w:val="single" w:color="auto" w:sz="4" w:space="0"/>
              <w:left w:val="single" w:color="auto" w:sz="4" w:space="0"/>
              <w:bottom w:val="single" w:color="auto" w:sz="4" w:space="0"/>
              <w:right w:val="single" w:color="auto" w:sz="4" w:space="0"/>
            </w:tcBorders>
            <w:noWrap w:val="0"/>
            <w:vAlign w:val="center"/>
          </w:tcPr>
          <w:p>
            <w:pPr>
              <w:suppressAutoHyphens/>
              <w:jc w:val="center"/>
              <w:rPr>
                <w:rFonts w:hint="eastAsia" w:ascii="楷体_GB2312" w:hAnsi="Times New Roman" w:eastAsia="楷体_GB2312" w:cs="Times New Roman"/>
                <w:kern w:val="2"/>
                <w:sz w:val="21"/>
                <w:szCs w:val="21"/>
                <w:lang w:val="en-US" w:eastAsia="zh-CN" w:bidi="ar-SA"/>
              </w:rPr>
            </w:pPr>
            <w:r>
              <w:rPr>
                <w:rFonts w:hint="eastAsia"/>
                <w:sz w:val="21"/>
                <w:szCs w:val="21"/>
              </w:rPr>
              <w:t>服务基层情况</w:t>
            </w:r>
          </w:p>
        </w:tc>
        <w:tc>
          <w:tcPr>
            <w:tcW w:w="1436" w:type="dxa"/>
            <w:vMerge w:val="continue"/>
            <w:tcBorders>
              <w:left w:val="single" w:color="auto" w:sz="4" w:space="0"/>
              <w:right w:val="single" w:color="auto" w:sz="4" w:space="0"/>
            </w:tcBorders>
            <w:noWrap w:val="0"/>
            <w:vAlign w:val="top"/>
          </w:tcPr>
          <w:p>
            <w:pPr>
              <w:spacing w:line="280" w:lineRule="exact"/>
              <w:rPr>
                <w:sz w:val="21"/>
                <w:szCs w:val="21"/>
              </w:rPr>
            </w:pPr>
          </w:p>
        </w:tc>
        <w:tc>
          <w:tcPr>
            <w:tcW w:w="14933" w:type="dxa"/>
            <w:vMerge w:val="continue"/>
            <w:tcBorders>
              <w:left w:val="single" w:color="auto" w:sz="4" w:space="0"/>
              <w:right w:val="single" w:color="auto" w:sz="4" w:space="0"/>
            </w:tcBorders>
            <w:noWrap w:val="0"/>
            <w:vAlign w:val="top"/>
          </w:tcPr>
          <w:p>
            <w:pPr>
              <w:spacing w:line="280" w:lineRule="exact"/>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trPr>
        <w:tc>
          <w:tcPr>
            <w:tcW w:w="5367" w:type="dxa"/>
            <w:gridSpan w:val="11"/>
            <w:tcBorders>
              <w:top w:val="single" w:color="auto" w:sz="4" w:space="0"/>
              <w:left w:val="single" w:color="auto" w:sz="4" w:space="0"/>
              <w:right w:val="single" w:color="auto"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firstLine="420" w:firstLineChars="200"/>
              <w:textAlignment w:val="auto"/>
              <w:rPr>
                <w:rFonts w:hint="eastAsia"/>
                <w:sz w:val="21"/>
                <w:szCs w:val="21"/>
              </w:rPr>
            </w:pPr>
            <w:r>
              <w:rPr>
                <w:rFonts w:hint="eastAsia" w:ascii="仿宋" w:hAnsi="仿宋" w:eastAsia="仿宋" w:cs="仿宋"/>
                <w:b w:val="0"/>
                <w:bCs w:val="0"/>
                <w:color w:val="auto"/>
                <w:sz w:val="21"/>
                <w:szCs w:val="21"/>
                <w:lang w:val="en-US" w:eastAsia="zh-CN"/>
              </w:rPr>
              <w:t>我始终将基层服务工作视为社会发展的重要基石，深知其直接关系到广大人民群众的切身利益。一是积极投身于娄底所属县市区的巡察工作，以实际行动为基层群众解决实际问题，推动基层治理体系和治理能力现代化。二是加强政治领引，树立服务大局的理念，建立了服务乡村振兴贡献为导向的考评机制，为高效优质推进乡村振兴服务工作，提供强有力的政策支持。三是加强政策宣传为基层事业单位人事人才统计工作提供政策解读与技术服务。</w:t>
            </w:r>
          </w:p>
        </w:tc>
        <w:tc>
          <w:tcPr>
            <w:tcW w:w="1436" w:type="dxa"/>
            <w:vMerge w:val="continue"/>
            <w:tcBorders>
              <w:left w:val="single" w:color="auto" w:sz="4" w:space="0"/>
              <w:right w:val="single" w:color="auto" w:sz="4" w:space="0"/>
            </w:tcBorders>
            <w:noWrap w:val="0"/>
            <w:vAlign w:val="top"/>
          </w:tcPr>
          <w:p>
            <w:pPr>
              <w:spacing w:line="280" w:lineRule="exact"/>
              <w:rPr>
                <w:sz w:val="21"/>
                <w:szCs w:val="21"/>
              </w:rPr>
            </w:pPr>
          </w:p>
        </w:tc>
        <w:tc>
          <w:tcPr>
            <w:tcW w:w="14933" w:type="dxa"/>
            <w:vMerge w:val="continue"/>
            <w:tcBorders>
              <w:left w:val="single" w:color="auto" w:sz="4" w:space="0"/>
              <w:right w:val="single" w:color="auto" w:sz="4" w:space="0"/>
            </w:tcBorders>
            <w:noWrap w:val="0"/>
            <w:vAlign w:val="top"/>
          </w:tcPr>
          <w:p>
            <w:pPr>
              <w:spacing w:line="280" w:lineRule="exact"/>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5367" w:type="dxa"/>
            <w:gridSpan w:val="11"/>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sz w:val="21"/>
                <w:szCs w:val="21"/>
              </w:rPr>
            </w:pPr>
            <w:r>
              <w:rPr>
                <w:rFonts w:hint="eastAsia"/>
                <w:sz w:val="21"/>
                <w:szCs w:val="21"/>
              </w:rPr>
              <w:t>近五年年度考核情况</w:t>
            </w:r>
          </w:p>
        </w:tc>
        <w:tc>
          <w:tcPr>
            <w:tcW w:w="1436" w:type="dxa"/>
            <w:vMerge w:val="continue"/>
            <w:tcBorders>
              <w:left w:val="single" w:color="auto" w:sz="4" w:space="0"/>
              <w:right w:val="single" w:color="auto" w:sz="4" w:space="0"/>
            </w:tcBorders>
            <w:noWrap w:val="0"/>
            <w:vAlign w:val="top"/>
          </w:tcPr>
          <w:p>
            <w:pPr>
              <w:spacing w:line="280" w:lineRule="exact"/>
              <w:rPr>
                <w:sz w:val="21"/>
                <w:szCs w:val="21"/>
              </w:rPr>
            </w:pPr>
          </w:p>
        </w:tc>
        <w:tc>
          <w:tcPr>
            <w:tcW w:w="14933" w:type="dxa"/>
            <w:vMerge w:val="continue"/>
            <w:tcBorders>
              <w:left w:val="single" w:color="auto" w:sz="4" w:space="0"/>
              <w:right w:val="single" w:color="auto" w:sz="4" w:space="0"/>
            </w:tcBorders>
            <w:noWrap w:val="0"/>
            <w:vAlign w:val="top"/>
          </w:tcPr>
          <w:p>
            <w:pPr>
              <w:spacing w:line="280" w:lineRule="exact"/>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1061"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sz w:val="21"/>
                <w:szCs w:val="21"/>
              </w:rPr>
            </w:pPr>
            <w:r>
              <w:rPr>
                <w:rFonts w:hint="eastAsia"/>
                <w:sz w:val="21"/>
                <w:szCs w:val="21"/>
              </w:rPr>
              <w:t>年    度</w:t>
            </w:r>
          </w:p>
        </w:tc>
        <w:tc>
          <w:tcPr>
            <w:tcW w:w="826"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hint="default" w:eastAsia="宋体"/>
                <w:sz w:val="21"/>
                <w:szCs w:val="21"/>
                <w:lang w:val="en-US" w:eastAsia="zh-CN"/>
              </w:rPr>
            </w:pPr>
            <w:r>
              <w:rPr>
                <w:rFonts w:hint="eastAsia"/>
                <w:sz w:val="21"/>
                <w:szCs w:val="21"/>
                <w:lang w:val="en-US" w:eastAsia="zh-CN"/>
              </w:rPr>
              <w:t>2019</w:t>
            </w:r>
          </w:p>
        </w:tc>
        <w:tc>
          <w:tcPr>
            <w:tcW w:w="614"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hint="default" w:eastAsia="宋体"/>
                <w:sz w:val="21"/>
                <w:szCs w:val="21"/>
                <w:lang w:val="en-US" w:eastAsia="zh-CN"/>
              </w:rPr>
            </w:pPr>
            <w:r>
              <w:rPr>
                <w:rFonts w:hint="eastAsia"/>
                <w:sz w:val="21"/>
                <w:szCs w:val="21"/>
                <w:lang w:val="en-US" w:eastAsia="zh-CN"/>
              </w:rPr>
              <w:t>2020</w:t>
            </w:r>
          </w:p>
        </w:tc>
        <w:tc>
          <w:tcPr>
            <w:tcW w:w="673"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hint="default" w:eastAsia="宋体"/>
                <w:sz w:val="21"/>
                <w:szCs w:val="21"/>
                <w:lang w:val="en-US" w:eastAsia="zh-CN"/>
              </w:rPr>
            </w:pPr>
            <w:r>
              <w:rPr>
                <w:rFonts w:hint="eastAsia"/>
                <w:sz w:val="21"/>
                <w:szCs w:val="21"/>
                <w:lang w:val="en-US" w:eastAsia="zh-CN"/>
              </w:rPr>
              <w:t>2021</w:t>
            </w:r>
          </w:p>
        </w:tc>
        <w:tc>
          <w:tcPr>
            <w:tcW w:w="986" w:type="dxa"/>
            <w:gridSpan w:val="3"/>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hint="default" w:eastAsia="宋体"/>
                <w:sz w:val="21"/>
                <w:szCs w:val="21"/>
                <w:lang w:val="en-US" w:eastAsia="zh-CN"/>
              </w:rPr>
            </w:pPr>
            <w:r>
              <w:rPr>
                <w:rFonts w:hint="eastAsia"/>
                <w:sz w:val="21"/>
                <w:szCs w:val="21"/>
                <w:lang w:val="en-US" w:eastAsia="zh-CN"/>
              </w:rPr>
              <w:t>2022</w:t>
            </w:r>
          </w:p>
        </w:tc>
        <w:tc>
          <w:tcPr>
            <w:tcW w:w="1207"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hint="default" w:eastAsia="宋体"/>
                <w:sz w:val="21"/>
                <w:szCs w:val="21"/>
                <w:lang w:val="en-US" w:eastAsia="zh-CN"/>
              </w:rPr>
            </w:pPr>
            <w:r>
              <w:rPr>
                <w:rFonts w:hint="eastAsia"/>
                <w:sz w:val="21"/>
                <w:szCs w:val="21"/>
                <w:lang w:val="en-US" w:eastAsia="zh-CN"/>
              </w:rPr>
              <w:t>2023</w:t>
            </w:r>
          </w:p>
        </w:tc>
        <w:tc>
          <w:tcPr>
            <w:tcW w:w="1436" w:type="dxa"/>
            <w:vMerge w:val="continue"/>
            <w:tcBorders>
              <w:left w:val="single" w:color="auto" w:sz="4" w:space="0"/>
              <w:bottom w:val="single" w:color="auto" w:sz="4" w:space="0"/>
              <w:right w:val="single" w:color="auto" w:sz="4" w:space="0"/>
            </w:tcBorders>
            <w:noWrap w:val="0"/>
            <w:vAlign w:val="top"/>
          </w:tcPr>
          <w:p>
            <w:pPr>
              <w:spacing w:line="280" w:lineRule="exact"/>
              <w:rPr>
                <w:sz w:val="21"/>
                <w:szCs w:val="21"/>
              </w:rPr>
            </w:pPr>
          </w:p>
        </w:tc>
        <w:tc>
          <w:tcPr>
            <w:tcW w:w="14933" w:type="dxa"/>
            <w:vMerge w:val="continue"/>
            <w:tcBorders>
              <w:left w:val="single" w:color="auto" w:sz="4" w:space="0"/>
              <w:right w:val="single" w:color="auto" w:sz="4" w:space="0"/>
            </w:tcBorders>
            <w:noWrap w:val="0"/>
            <w:vAlign w:val="top"/>
          </w:tcPr>
          <w:p>
            <w:pPr>
              <w:spacing w:line="280" w:lineRule="exact"/>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1061"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sz w:val="21"/>
                <w:szCs w:val="21"/>
              </w:rPr>
            </w:pPr>
            <w:r>
              <w:rPr>
                <w:rFonts w:hint="eastAsia"/>
                <w:sz w:val="21"/>
                <w:szCs w:val="21"/>
              </w:rPr>
              <w:t>考核情况</w:t>
            </w:r>
          </w:p>
        </w:tc>
        <w:tc>
          <w:tcPr>
            <w:tcW w:w="826"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hint="eastAsia" w:eastAsia="宋体"/>
                <w:sz w:val="21"/>
                <w:szCs w:val="21"/>
                <w:lang w:eastAsia="zh-CN"/>
              </w:rPr>
            </w:pPr>
            <w:r>
              <w:rPr>
                <w:rFonts w:hint="eastAsia"/>
                <w:sz w:val="21"/>
                <w:szCs w:val="21"/>
                <w:lang w:eastAsia="zh-CN"/>
              </w:rPr>
              <w:t>合格</w:t>
            </w:r>
          </w:p>
        </w:tc>
        <w:tc>
          <w:tcPr>
            <w:tcW w:w="614"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sz w:val="21"/>
                <w:szCs w:val="21"/>
              </w:rPr>
            </w:pPr>
            <w:r>
              <w:rPr>
                <w:rFonts w:hint="eastAsia"/>
                <w:sz w:val="21"/>
                <w:szCs w:val="21"/>
                <w:lang w:eastAsia="zh-CN"/>
              </w:rPr>
              <w:t>合格</w:t>
            </w:r>
          </w:p>
        </w:tc>
        <w:tc>
          <w:tcPr>
            <w:tcW w:w="673"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sz w:val="21"/>
                <w:szCs w:val="21"/>
              </w:rPr>
            </w:pPr>
            <w:r>
              <w:rPr>
                <w:rFonts w:hint="eastAsia"/>
                <w:sz w:val="21"/>
                <w:szCs w:val="21"/>
                <w:lang w:eastAsia="zh-CN"/>
              </w:rPr>
              <w:t>合格</w:t>
            </w:r>
          </w:p>
        </w:tc>
        <w:tc>
          <w:tcPr>
            <w:tcW w:w="986" w:type="dxa"/>
            <w:gridSpan w:val="3"/>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hint="eastAsia" w:eastAsia="宋体"/>
                <w:sz w:val="21"/>
                <w:szCs w:val="21"/>
                <w:lang w:eastAsia="zh-CN"/>
              </w:rPr>
            </w:pPr>
            <w:r>
              <w:rPr>
                <w:rFonts w:hint="eastAsia"/>
                <w:sz w:val="21"/>
                <w:szCs w:val="21"/>
                <w:lang w:eastAsia="zh-CN"/>
              </w:rPr>
              <w:t>优秀</w:t>
            </w:r>
          </w:p>
        </w:tc>
        <w:tc>
          <w:tcPr>
            <w:tcW w:w="1207"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sz w:val="21"/>
                <w:szCs w:val="21"/>
              </w:rPr>
            </w:pPr>
            <w:r>
              <w:rPr>
                <w:rFonts w:hint="eastAsia"/>
                <w:sz w:val="21"/>
                <w:szCs w:val="21"/>
                <w:lang w:eastAsia="zh-CN"/>
              </w:rPr>
              <w:t>合格</w:t>
            </w:r>
          </w:p>
        </w:tc>
        <w:tc>
          <w:tcPr>
            <w:tcW w:w="1436"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sz w:val="21"/>
                <w:szCs w:val="21"/>
              </w:rPr>
            </w:pPr>
            <w:r>
              <w:rPr>
                <w:rFonts w:hint="eastAsia"/>
                <w:sz w:val="21"/>
                <w:szCs w:val="21"/>
              </w:rPr>
              <w:t>备注</w:t>
            </w:r>
          </w:p>
        </w:tc>
        <w:tc>
          <w:tcPr>
            <w:tcW w:w="14933" w:type="dxa"/>
            <w:tcBorders>
              <w:left w:val="single" w:color="auto" w:sz="4" w:space="0"/>
              <w:bottom w:val="single" w:color="auto" w:sz="4" w:space="0"/>
              <w:right w:val="single" w:color="auto" w:sz="4" w:space="0"/>
            </w:tcBorders>
            <w:noWrap w:val="0"/>
            <w:vAlign w:val="top"/>
          </w:tcPr>
          <w:p>
            <w:pPr>
              <w:spacing w:line="280" w:lineRule="exact"/>
              <w:rPr>
                <w:sz w:val="21"/>
                <w:szCs w:val="21"/>
              </w:rPr>
            </w:pPr>
          </w:p>
        </w:tc>
      </w:tr>
    </w:tbl>
    <w:p>
      <w:pPr>
        <w:spacing w:line="280" w:lineRule="exact"/>
        <w:ind w:firstLine="69" w:firstLineChars="33"/>
        <w:rPr>
          <w:rFonts w:hint="eastAsia"/>
        </w:rPr>
      </w:pPr>
      <w:r>
        <w:rPr>
          <w:rFonts w:hint="eastAsia"/>
        </w:rPr>
        <w:t xml:space="preserve">  </w:t>
      </w:r>
    </w:p>
    <w:p>
      <w:pPr>
        <w:spacing w:line="280" w:lineRule="exact"/>
        <w:rPr>
          <w:sz w:val="24"/>
          <w:szCs w:val="24"/>
        </w:rPr>
      </w:pPr>
      <w:r>
        <w:rPr>
          <w:rFonts w:hint="eastAsia"/>
          <w:sz w:val="24"/>
          <w:szCs w:val="24"/>
        </w:rPr>
        <w:t xml:space="preserve"> 公示时间：               公示结果：                           </w:t>
      </w:r>
      <w:r>
        <w:rPr>
          <w:rFonts w:hint="eastAsia"/>
          <w:sz w:val="24"/>
          <w:szCs w:val="24"/>
          <w:lang w:val="en-US" w:eastAsia="zh-CN"/>
        </w:rPr>
        <w:t xml:space="preserve">           </w:t>
      </w:r>
      <w:r>
        <w:rPr>
          <w:rFonts w:hint="eastAsia"/>
          <w:sz w:val="24"/>
          <w:szCs w:val="24"/>
        </w:rPr>
        <w:t xml:space="preserve">            负责人：</w:t>
      </w:r>
      <w:r>
        <w:rPr>
          <w:sz w:val="24"/>
          <w:szCs w:val="24"/>
        </w:rPr>
        <w:t xml:space="preserve"> </w:t>
      </w: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单位（公章）：</w:t>
      </w:r>
      <w:r>
        <w:rPr>
          <w:rFonts w:hint="eastAsia"/>
          <w:sz w:val="24"/>
          <w:szCs w:val="24"/>
          <w:lang w:val="en-US" w:eastAsia="zh-CN"/>
        </w:rPr>
        <w:t xml:space="preserve">                                </w:t>
      </w:r>
      <w:r>
        <w:rPr>
          <w:rFonts w:hint="eastAsia"/>
          <w:sz w:val="24"/>
          <w:szCs w:val="24"/>
        </w:rPr>
        <w:t>年</w:t>
      </w:r>
      <w:r>
        <w:rPr>
          <w:sz w:val="24"/>
          <w:szCs w:val="24"/>
        </w:rPr>
        <w:t xml:space="preserve">    </w:t>
      </w:r>
      <w:r>
        <w:rPr>
          <w:rFonts w:hint="eastAsia"/>
          <w:sz w:val="24"/>
          <w:szCs w:val="24"/>
        </w:rPr>
        <w:t>月</w:t>
      </w:r>
      <w:r>
        <w:rPr>
          <w:sz w:val="24"/>
          <w:szCs w:val="24"/>
        </w:rPr>
        <w:t xml:space="preserve">    </w:t>
      </w:r>
      <w:r>
        <w:rPr>
          <w:rFonts w:hint="eastAsia"/>
          <w:sz w:val="24"/>
          <w:szCs w:val="24"/>
        </w:rPr>
        <w:t xml:space="preserve">日 </w:t>
      </w:r>
    </w:p>
    <w:sectPr>
      <w:headerReference r:id="rId3" w:type="default"/>
      <w:pgSz w:w="23811" w:h="16838" w:orient="landscape"/>
      <w:pgMar w:top="1361"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U1MzU3YTdmYWFmMGYzZmY2YzU5MjBjOTQxNzlmZGIifQ=="/>
  </w:docVars>
  <w:rsids>
    <w:rsidRoot w:val="6BF20F4D"/>
    <w:rsid w:val="081256CF"/>
    <w:rsid w:val="24776664"/>
    <w:rsid w:val="3580306A"/>
    <w:rsid w:val="48674C76"/>
    <w:rsid w:val="57BF4FD9"/>
    <w:rsid w:val="6BF20F4D"/>
    <w:rsid w:val="6D171B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jc w:val="center"/>
    </w:pPr>
    <w:rPr>
      <w:b/>
      <w:bCs/>
      <w:spacing w:val="20"/>
      <w:sz w:val="44"/>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17</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2024-08-09T04:53:00Z</dcterms:created>
  <dc:creator>非你莫属</dc:creator>
  <cp:lastModifiedBy>非你莫属</cp:lastModifiedBy>
  <cp:lastPrinted>2024-08-09T05:20:00Z</cp:lastPrinted>
  <dcterms:modified xsi:type="dcterms:W3CDTF">2024-08-23T06:23:05Z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AE23C5A77A5446A68AA87DD0B62B3FE1_11</vt:lpwstr>
  </property>
</Properties>
</file>